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727C" w14:textId="427A87A1" w:rsidR="000B1350" w:rsidRPr="00CA3524" w:rsidRDefault="00FC51B2">
      <w:pPr>
        <w:rPr>
          <w:rFonts w:ascii="Times New Roman" w:hAnsi="Times New Roman" w:cs="Times New Roman"/>
        </w:rPr>
      </w:pPr>
      <w:r w:rsidRPr="00CA3524">
        <w:rPr>
          <w:rFonts w:ascii="Times New Roman" w:hAnsi="Times New Roman" w:cs="Times New Roman"/>
        </w:rPr>
        <w:t xml:space="preserve">Submission before the Meta Oversight Board </w:t>
      </w:r>
    </w:p>
    <w:p w14:paraId="54B4427F" w14:textId="77777777" w:rsidR="00FC51B2" w:rsidRDefault="00FC51B2"/>
    <w:p w14:paraId="280C882C" w14:textId="5149243D" w:rsidR="00A74449" w:rsidRPr="00E241CE" w:rsidRDefault="00CA3524" w:rsidP="00CA3524">
      <w:pPr>
        <w:pStyle w:val="p1"/>
        <w:ind w:firstLine="720"/>
        <w:jc w:val="both"/>
        <w:rPr>
          <w:rFonts w:ascii="Times New Roman" w:eastAsiaTheme="minorHAnsi" w:hAnsi="Times New Roman"/>
          <w:color w:val="auto"/>
          <w:kern w:val="2"/>
          <w:sz w:val="24"/>
          <w:szCs w:val="24"/>
          <w:lang w:eastAsia="en-US"/>
          <w14:ligatures w14:val="standardContextual"/>
        </w:rPr>
      </w:pPr>
      <w:r w:rsidRPr="00E241CE">
        <w:rPr>
          <w:rFonts w:ascii="Times New Roman" w:eastAsiaTheme="minorHAnsi" w:hAnsi="Times New Roman"/>
          <w:color w:val="auto"/>
          <w:kern w:val="2"/>
          <w:sz w:val="24"/>
          <w:szCs w:val="24"/>
          <w:lang w:eastAsia="en-US"/>
          <w14:ligatures w14:val="standardContextual"/>
        </w:rPr>
        <w:t>This brief submission holds that, in accordance with international human rights standards, the Meta Oversight Board should require Meta to keep online the bundle of videos that show teachers hitting children in school settings</w:t>
      </w:r>
      <w:r w:rsidR="00A74449" w:rsidRPr="00E241CE">
        <w:rPr>
          <w:rFonts w:ascii="Times New Roman" w:eastAsiaTheme="minorHAnsi" w:hAnsi="Times New Roman"/>
          <w:color w:val="auto"/>
          <w:kern w:val="2"/>
          <w:sz w:val="24"/>
          <w:szCs w:val="24"/>
          <w:lang w:eastAsia="en-US"/>
          <w14:ligatures w14:val="standardContextual"/>
        </w:rPr>
        <w:t xml:space="preserve"> in Indi</w:t>
      </w:r>
      <w:r w:rsidR="00847AFE">
        <w:rPr>
          <w:rFonts w:ascii="Times New Roman" w:eastAsiaTheme="minorHAnsi" w:hAnsi="Times New Roman"/>
          <w:color w:val="auto"/>
          <w:kern w:val="2"/>
          <w:sz w:val="24"/>
          <w:szCs w:val="24"/>
          <w:lang w:eastAsia="en-US"/>
          <w14:ligatures w14:val="standardContextual"/>
        </w:rPr>
        <w:t>a</w:t>
      </w:r>
      <w:r w:rsidR="00A74449" w:rsidRPr="00E241CE">
        <w:rPr>
          <w:rFonts w:ascii="Times New Roman" w:eastAsiaTheme="minorHAnsi" w:hAnsi="Times New Roman"/>
          <w:color w:val="auto"/>
          <w:kern w:val="2"/>
          <w:sz w:val="24"/>
          <w:szCs w:val="24"/>
          <w:lang w:eastAsia="en-US"/>
          <w14:ligatures w14:val="standardContextual"/>
        </w:rPr>
        <w:t xml:space="preserve"> and France</w:t>
      </w:r>
      <w:r w:rsidRPr="00E241CE">
        <w:rPr>
          <w:rFonts w:ascii="Times New Roman" w:eastAsiaTheme="minorHAnsi" w:hAnsi="Times New Roman"/>
          <w:color w:val="auto"/>
          <w:kern w:val="2"/>
          <w:sz w:val="24"/>
          <w:szCs w:val="24"/>
          <w:lang w:eastAsia="en-US"/>
          <w14:ligatures w14:val="standardContextual"/>
        </w:rPr>
        <w:t xml:space="preserve">. This is because in such circumstances it is both appropriate and imperative for social media companies to allow content showing children being abused, </w:t>
      </w:r>
      <w:proofErr w:type="gramStart"/>
      <w:r w:rsidRPr="00E241CE">
        <w:rPr>
          <w:rFonts w:ascii="Times New Roman" w:eastAsiaTheme="minorHAnsi" w:hAnsi="Times New Roman"/>
          <w:color w:val="auto"/>
          <w:kern w:val="2"/>
          <w:sz w:val="24"/>
          <w:szCs w:val="24"/>
          <w:lang w:eastAsia="en-US"/>
          <w14:ligatures w14:val="standardContextual"/>
        </w:rPr>
        <w:t>in light of</w:t>
      </w:r>
      <w:proofErr w:type="gramEnd"/>
      <w:r w:rsidRPr="00E241CE">
        <w:rPr>
          <w:rFonts w:ascii="Times New Roman" w:eastAsiaTheme="minorHAnsi" w:hAnsi="Times New Roman"/>
          <w:color w:val="auto"/>
          <w:kern w:val="2"/>
          <w:sz w:val="24"/>
          <w:szCs w:val="24"/>
          <w:lang w:eastAsia="en-US"/>
          <w14:ligatures w14:val="standardContextual"/>
        </w:rPr>
        <w:t xml:space="preserve"> both the human right to freedom of expression and the human rights principle to respect the best interest of the child. </w:t>
      </w:r>
    </w:p>
    <w:p w14:paraId="7CFC73EF" w14:textId="77777777" w:rsidR="00A74449" w:rsidRPr="00E241CE" w:rsidRDefault="00A74449" w:rsidP="00CA3524">
      <w:pPr>
        <w:pStyle w:val="p1"/>
        <w:ind w:firstLine="720"/>
        <w:jc w:val="both"/>
        <w:rPr>
          <w:rFonts w:ascii="Times New Roman" w:eastAsiaTheme="minorHAnsi" w:hAnsi="Times New Roman"/>
          <w:color w:val="auto"/>
          <w:kern w:val="2"/>
          <w:sz w:val="24"/>
          <w:szCs w:val="24"/>
          <w:lang w:eastAsia="en-US"/>
          <w14:ligatures w14:val="standardContextual"/>
        </w:rPr>
      </w:pPr>
    </w:p>
    <w:p w14:paraId="0F499E8B" w14:textId="71F42B3A" w:rsidR="00CA3524" w:rsidRPr="00E241CE" w:rsidRDefault="000C1593" w:rsidP="00CA3524">
      <w:pPr>
        <w:pStyle w:val="p1"/>
        <w:ind w:firstLine="720"/>
        <w:jc w:val="both"/>
        <w:rPr>
          <w:rFonts w:ascii="Times New Roman" w:eastAsiaTheme="minorHAnsi" w:hAnsi="Times New Roman"/>
          <w:color w:val="auto"/>
          <w:kern w:val="2"/>
          <w:sz w:val="24"/>
          <w:szCs w:val="24"/>
          <w:lang w:eastAsia="en-US"/>
          <w14:ligatures w14:val="standardContextual"/>
        </w:rPr>
      </w:pPr>
      <w:r w:rsidRPr="00E241CE">
        <w:rPr>
          <w:rFonts w:ascii="Times New Roman" w:eastAsiaTheme="minorHAnsi" w:hAnsi="Times New Roman"/>
          <w:color w:val="auto"/>
          <w:kern w:val="2"/>
          <w:sz w:val="24"/>
          <w:szCs w:val="24"/>
          <w:lang w:eastAsia="en-US"/>
          <w14:ligatures w14:val="standardContextual"/>
        </w:rPr>
        <w:t xml:space="preserve">The submission is </w:t>
      </w:r>
      <w:r w:rsidR="00BF67E5" w:rsidRPr="00E241CE">
        <w:rPr>
          <w:rFonts w:ascii="Times New Roman" w:eastAsiaTheme="minorHAnsi" w:hAnsi="Times New Roman"/>
          <w:color w:val="auto"/>
          <w:kern w:val="2"/>
          <w:sz w:val="24"/>
          <w:szCs w:val="24"/>
          <w:lang w:eastAsia="en-US"/>
          <w14:ligatures w14:val="standardContextual"/>
        </w:rPr>
        <w:t xml:space="preserve">primarily </w:t>
      </w:r>
      <w:r w:rsidRPr="00E241CE">
        <w:rPr>
          <w:rFonts w:ascii="Times New Roman" w:eastAsiaTheme="minorHAnsi" w:hAnsi="Times New Roman"/>
          <w:color w:val="auto"/>
          <w:kern w:val="2"/>
          <w:sz w:val="24"/>
          <w:szCs w:val="24"/>
          <w:lang w:eastAsia="en-US"/>
          <w14:ligatures w14:val="standardContextual"/>
        </w:rPr>
        <w:t xml:space="preserve">based on </w:t>
      </w:r>
      <w:hyperlink r:id="rId5" w:history="1">
        <w:r w:rsidRPr="00E241CE">
          <w:rPr>
            <w:rStyle w:val="Hyperlink"/>
            <w:rFonts w:ascii="Times New Roman" w:eastAsiaTheme="minorHAnsi" w:hAnsi="Times New Roman"/>
            <w:kern w:val="2"/>
            <w:sz w:val="24"/>
            <w:szCs w:val="24"/>
            <w:lang w:eastAsia="en-US"/>
            <w14:ligatures w14:val="standardContextual"/>
          </w:rPr>
          <w:t>UN’s World Report on Violence Against Children</w:t>
        </w:r>
      </w:hyperlink>
      <w:r w:rsidR="009333EB" w:rsidRPr="00E241CE">
        <w:rPr>
          <w:rFonts w:ascii="Times New Roman" w:eastAsiaTheme="minorHAnsi" w:hAnsi="Times New Roman"/>
          <w:color w:val="auto"/>
          <w:kern w:val="2"/>
          <w:sz w:val="24"/>
          <w:szCs w:val="24"/>
          <w:lang w:eastAsia="en-US"/>
          <w14:ligatures w14:val="standardContextual"/>
        </w:rPr>
        <w:t xml:space="preserve"> and is prepared in my personal capacity. </w:t>
      </w:r>
    </w:p>
    <w:p w14:paraId="17DD7BAF" w14:textId="77777777" w:rsidR="00CA3524" w:rsidRPr="00E241CE" w:rsidRDefault="00CA3524" w:rsidP="00FC51B2">
      <w:pPr>
        <w:pStyle w:val="p1"/>
        <w:jc w:val="both"/>
        <w:rPr>
          <w:rFonts w:ascii="Times New Roman" w:eastAsiaTheme="minorHAnsi" w:hAnsi="Times New Roman"/>
          <w:color w:val="auto"/>
          <w:kern w:val="2"/>
          <w:sz w:val="24"/>
          <w:szCs w:val="24"/>
          <w:lang w:eastAsia="en-US"/>
          <w14:ligatures w14:val="standardContextual"/>
        </w:rPr>
      </w:pPr>
    </w:p>
    <w:p w14:paraId="072F9EAD" w14:textId="6A6DFE97" w:rsidR="00FC51B2" w:rsidRPr="00E241CE" w:rsidRDefault="00FC51B2" w:rsidP="00CA3524">
      <w:pPr>
        <w:pStyle w:val="p1"/>
        <w:ind w:firstLine="720"/>
        <w:jc w:val="both"/>
        <w:rPr>
          <w:rFonts w:ascii="Times New Roman" w:eastAsiaTheme="minorHAnsi" w:hAnsi="Times New Roman"/>
          <w:color w:val="auto"/>
          <w:kern w:val="2"/>
          <w:sz w:val="24"/>
          <w:szCs w:val="24"/>
          <w:lang w:eastAsia="en-US"/>
          <w14:ligatures w14:val="standardContextual"/>
        </w:rPr>
      </w:pPr>
      <w:r w:rsidRPr="00E241CE">
        <w:rPr>
          <w:rFonts w:ascii="Times New Roman" w:eastAsiaTheme="minorHAnsi" w:hAnsi="Times New Roman"/>
          <w:color w:val="auto"/>
          <w:kern w:val="2"/>
          <w:sz w:val="24"/>
          <w:szCs w:val="24"/>
          <w:lang w:eastAsia="en-US"/>
          <w14:ligatures w14:val="standardContextual"/>
        </w:rPr>
        <w:t xml:space="preserve">Conformity with the Convention on the Right of the Child </w:t>
      </w:r>
      <w:r w:rsidR="00CA3524" w:rsidRPr="00E241CE">
        <w:rPr>
          <w:rFonts w:ascii="Times New Roman" w:eastAsiaTheme="minorHAnsi" w:hAnsi="Times New Roman"/>
          <w:color w:val="auto"/>
          <w:kern w:val="2"/>
          <w:sz w:val="24"/>
          <w:szCs w:val="24"/>
          <w:lang w:eastAsia="en-US"/>
          <w14:ligatures w14:val="standardContextual"/>
        </w:rPr>
        <w:t xml:space="preserve">(CRC) </w:t>
      </w:r>
      <w:r w:rsidRPr="00E241CE">
        <w:rPr>
          <w:rFonts w:ascii="Times New Roman" w:eastAsiaTheme="minorHAnsi" w:hAnsi="Times New Roman"/>
          <w:color w:val="auto"/>
          <w:kern w:val="2"/>
          <w:sz w:val="24"/>
          <w:szCs w:val="24"/>
          <w:lang w:eastAsia="en-US"/>
          <w14:ligatures w14:val="standardContextual"/>
        </w:rPr>
        <w:t xml:space="preserve">requires </w:t>
      </w:r>
      <w:r w:rsidR="00FC661D" w:rsidRPr="00E241CE">
        <w:rPr>
          <w:rFonts w:ascii="Times New Roman" w:eastAsiaTheme="minorHAnsi" w:hAnsi="Times New Roman"/>
          <w:color w:val="auto"/>
          <w:kern w:val="2"/>
          <w:sz w:val="24"/>
          <w:szCs w:val="24"/>
          <w:lang w:eastAsia="en-US"/>
          <w14:ligatures w14:val="standardContextual"/>
        </w:rPr>
        <w:t xml:space="preserve">states to </w:t>
      </w:r>
      <w:r w:rsidRPr="00E241CE">
        <w:rPr>
          <w:rFonts w:ascii="Times New Roman" w:eastAsiaTheme="minorHAnsi" w:hAnsi="Times New Roman"/>
          <w:color w:val="auto"/>
          <w:kern w:val="2"/>
          <w:sz w:val="24"/>
          <w:szCs w:val="24"/>
          <w:lang w:eastAsia="en-US"/>
          <w14:ligatures w14:val="standardContextual"/>
        </w:rPr>
        <w:t>protect the child against “all forms of physical or mental violence, injury or abuse, neglect or negligent treatment, maltreatment or exploitation, including sexual abuse” and from “cruel, inhuman or degrading treatment or punishment” (article 37).</w:t>
      </w:r>
    </w:p>
    <w:p w14:paraId="2EDCCED8" w14:textId="77777777" w:rsidR="00CA3524" w:rsidRPr="00E241CE" w:rsidRDefault="00CA3524" w:rsidP="00FC51B2">
      <w:pPr>
        <w:pStyle w:val="p1"/>
        <w:jc w:val="both"/>
        <w:rPr>
          <w:rFonts w:ascii="Times New Roman" w:eastAsiaTheme="minorHAnsi" w:hAnsi="Times New Roman"/>
          <w:color w:val="auto"/>
          <w:kern w:val="2"/>
          <w:sz w:val="24"/>
          <w:szCs w:val="24"/>
          <w:lang w:eastAsia="en-US"/>
          <w14:ligatures w14:val="standardContextual"/>
        </w:rPr>
      </w:pPr>
    </w:p>
    <w:p w14:paraId="06534CF0" w14:textId="77777777" w:rsidR="00FC661D" w:rsidRPr="00E241CE" w:rsidRDefault="00FC51B2" w:rsidP="00CA3524">
      <w:pPr>
        <w:pStyle w:val="p1"/>
        <w:ind w:firstLine="720"/>
        <w:jc w:val="both"/>
        <w:rPr>
          <w:rFonts w:ascii="Times New Roman" w:eastAsiaTheme="minorHAnsi" w:hAnsi="Times New Roman"/>
          <w:color w:val="auto"/>
          <w:kern w:val="2"/>
          <w:sz w:val="24"/>
          <w:szCs w:val="24"/>
          <w:lang w:eastAsia="en-US"/>
          <w14:ligatures w14:val="standardContextual"/>
        </w:rPr>
      </w:pPr>
      <w:r w:rsidRPr="00E241CE">
        <w:rPr>
          <w:rFonts w:ascii="Times New Roman" w:eastAsiaTheme="minorHAnsi" w:hAnsi="Times New Roman"/>
          <w:color w:val="auto"/>
          <w:kern w:val="2"/>
          <w:sz w:val="24"/>
          <w:szCs w:val="24"/>
          <w:lang w:eastAsia="en-US"/>
          <w14:ligatures w14:val="standardContextual"/>
        </w:rPr>
        <w:t xml:space="preserve">Article 28 of the CRC recognises “the right of the child to education … with a view to achieving this right progressively and on the basis of equal opportunity.” </w:t>
      </w:r>
    </w:p>
    <w:p w14:paraId="5F4DBC88" w14:textId="77777777" w:rsidR="00FC661D" w:rsidRPr="00E241CE" w:rsidRDefault="00FC661D" w:rsidP="00CA3524">
      <w:pPr>
        <w:pStyle w:val="p1"/>
        <w:ind w:firstLine="720"/>
        <w:jc w:val="both"/>
        <w:rPr>
          <w:rFonts w:ascii="Times New Roman" w:eastAsiaTheme="minorHAnsi" w:hAnsi="Times New Roman"/>
          <w:color w:val="auto"/>
          <w:kern w:val="2"/>
          <w:sz w:val="24"/>
          <w:szCs w:val="24"/>
          <w:lang w:eastAsia="en-US"/>
          <w14:ligatures w14:val="standardContextual"/>
        </w:rPr>
      </w:pPr>
    </w:p>
    <w:p w14:paraId="234445CA" w14:textId="49755A28" w:rsidR="00FC51B2" w:rsidRPr="00E241CE" w:rsidRDefault="00FC51B2" w:rsidP="00FC661D">
      <w:pPr>
        <w:pStyle w:val="p1"/>
        <w:ind w:firstLine="720"/>
        <w:jc w:val="both"/>
        <w:rPr>
          <w:rFonts w:ascii="Times New Roman" w:eastAsiaTheme="minorHAnsi" w:hAnsi="Times New Roman"/>
          <w:color w:val="auto"/>
          <w:kern w:val="2"/>
          <w:sz w:val="24"/>
          <w:szCs w:val="24"/>
          <w:lang w:eastAsia="en-US"/>
          <w14:ligatures w14:val="standardContextual"/>
        </w:rPr>
      </w:pPr>
      <w:r w:rsidRPr="00E241CE">
        <w:rPr>
          <w:rFonts w:ascii="Times New Roman" w:eastAsiaTheme="minorHAnsi" w:hAnsi="Times New Roman"/>
          <w:color w:val="auto"/>
          <w:kern w:val="2"/>
          <w:sz w:val="24"/>
          <w:szCs w:val="24"/>
          <w:lang w:eastAsia="en-US"/>
          <w14:ligatures w14:val="standardContextual"/>
        </w:rPr>
        <w:t>In 2001, the Committee on the Rights of the Child issued General Comment No. 1 on the aims of education (CRC/GC/2001/1)</w:t>
      </w:r>
      <w:r w:rsidR="00FC661D" w:rsidRPr="00E241CE">
        <w:rPr>
          <w:rFonts w:ascii="Times New Roman" w:eastAsiaTheme="minorHAnsi" w:hAnsi="Times New Roman"/>
          <w:color w:val="auto"/>
          <w:kern w:val="2"/>
          <w:sz w:val="24"/>
          <w:szCs w:val="24"/>
          <w:lang w:eastAsia="en-US"/>
          <w14:ligatures w14:val="standardContextual"/>
        </w:rPr>
        <w:t>.</w:t>
      </w:r>
      <w:r w:rsidRPr="00E241CE">
        <w:rPr>
          <w:rFonts w:ascii="Times New Roman" w:eastAsiaTheme="minorHAnsi" w:hAnsi="Times New Roman"/>
          <w:color w:val="auto"/>
          <w:kern w:val="2"/>
          <w:sz w:val="24"/>
          <w:szCs w:val="24"/>
          <w:lang w:eastAsia="en-US"/>
          <w14:ligatures w14:val="standardContextual"/>
        </w:rPr>
        <w:t xml:space="preserve"> General Comment No. 1 states that: “…Children do not lose their human rights by virtue of passing through the school gates. Thus, for example, education must be provided in a way that respects the inherent dignity of the child, enables the child to express his or her views freely</w:t>
      </w:r>
      <w:r w:rsidR="002A2466" w:rsidRPr="00E241CE">
        <w:rPr>
          <w:rFonts w:ascii="Times New Roman" w:eastAsiaTheme="minorHAnsi" w:hAnsi="Times New Roman"/>
          <w:color w:val="auto"/>
          <w:kern w:val="2"/>
          <w:sz w:val="24"/>
          <w:szCs w:val="24"/>
          <w:lang w:eastAsia="en-US"/>
          <w14:ligatures w14:val="standardContextual"/>
        </w:rPr>
        <w:t>…</w:t>
      </w:r>
      <w:r w:rsidRPr="00E241CE">
        <w:rPr>
          <w:rFonts w:ascii="Times New Roman" w:eastAsiaTheme="minorHAnsi" w:hAnsi="Times New Roman"/>
          <w:color w:val="auto"/>
          <w:kern w:val="2"/>
          <w:sz w:val="24"/>
          <w:szCs w:val="24"/>
          <w:lang w:eastAsia="en-US"/>
          <w14:ligatures w14:val="standardContextual"/>
        </w:rPr>
        <w:t>and to participate in</w:t>
      </w:r>
      <w:r w:rsidR="00FC661D" w:rsidRPr="00E241CE">
        <w:rPr>
          <w:rFonts w:ascii="Times New Roman" w:eastAsiaTheme="minorHAnsi" w:hAnsi="Times New Roman"/>
          <w:color w:val="auto"/>
          <w:kern w:val="2"/>
          <w:sz w:val="24"/>
          <w:szCs w:val="24"/>
          <w:lang w:eastAsia="en-US"/>
          <w14:ligatures w14:val="standardContextual"/>
        </w:rPr>
        <w:t xml:space="preserve"> </w:t>
      </w:r>
      <w:r w:rsidRPr="00E241CE">
        <w:rPr>
          <w:rFonts w:ascii="Times New Roman" w:eastAsiaTheme="minorHAnsi" w:hAnsi="Times New Roman"/>
          <w:color w:val="auto"/>
          <w:kern w:val="2"/>
          <w:sz w:val="24"/>
          <w:szCs w:val="24"/>
          <w:lang w:eastAsia="en-US"/>
          <w14:ligatures w14:val="standardContextual"/>
        </w:rPr>
        <w:t>school life. Education must also be provided in a way that respects the strict limits on</w:t>
      </w:r>
      <w:r w:rsidR="00FC661D" w:rsidRPr="00E241CE">
        <w:rPr>
          <w:rFonts w:ascii="Times New Roman" w:eastAsiaTheme="minorHAnsi" w:hAnsi="Times New Roman"/>
          <w:color w:val="auto"/>
          <w:kern w:val="2"/>
          <w:sz w:val="24"/>
          <w:szCs w:val="24"/>
          <w:lang w:eastAsia="en-US"/>
          <w14:ligatures w14:val="standardContextual"/>
        </w:rPr>
        <w:t xml:space="preserve"> </w:t>
      </w:r>
      <w:r w:rsidRPr="00E241CE">
        <w:rPr>
          <w:rFonts w:ascii="Times New Roman" w:eastAsiaTheme="minorHAnsi" w:hAnsi="Times New Roman"/>
          <w:color w:val="auto"/>
          <w:kern w:val="2"/>
          <w:sz w:val="24"/>
          <w:szCs w:val="24"/>
          <w:lang w:eastAsia="en-US"/>
          <w14:ligatures w14:val="standardContextual"/>
        </w:rPr>
        <w:t>discipline reflected in article 28(2) and promotes non-violence in school. The Committee has repeatedly made clear in its concluding observations that the use of corporal punishment does not respect the inherent dignity of the child nor the strict limits on school discipline</w:t>
      </w:r>
      <w:r w:rsidR="00FC661D" w:rsidRPr="00E241CE">
        <w:rPr>
          <w:rFonts w:ascii="Times New Roman" w:eastAsiaTheme="minorHAnsi" w:hAnsi="Times New Roman"/>
          <w:color w:val="auto"/>
          <w:kern w:val="2"/>
          <w:sz w:val="24"/>
          <w:szCs w:val="24"/>
          <w:lang w:eastAsia="en-US"/>
          <w14:ligatures w14:val="standardContextual"/>
        </w:rPr>
        <w:t xml:space="preserve">”. </w:t>
      </w:r>
    </w:p>
    <w:p w14:paraId="3FFB5469" w14:textId="77777777" w:rsidR="00FC661D" w:rsidRPr="00E241CE" w:rsidRDefault="00FC661D" w:rsidP="00FC661D">
      <w:pPr>
        <w:pStyle w:val="p1"/>
        <w:ind w:firstLine="720"/>
        <w:jc w:val="both"/>
        <w:rPr>
          <w:rFonts w:ascii="Times New Roman" w:eastAsiaTheme="minorHAnsi" w:hAnsi="Times New Roman"/>
          <w:color w:val="auto"/>
          <w:kern w:val="2"/>
          <w:sz w:val="24"/>
          <w:szCs w:val="24"/>
          <w:lang w:eastAsia="en-US"/>
          <w14:ligatures w14:val="standardContextual"/>
        </w:rPr>
      </w:pPr>
    </w:p>
    <w:p w14:paraId="0316B7F8" w14:textId="341FE48F" w:rsidR="000C1593" w:rsidRPr="00E241CE" w:rsidRDefault="000C1593" w:rsidP="000C1593">
      <w:pPr>
        <w:pStyle w:val="p1"/>
        <w:ind w:firstLine="720"/>
        <w:jc w:val="both"/>
        <w:rPr>
          <w:rFonts w:ascii="Times New Roman" w:eastAsiaTheme="minorHAnsi" w:hAnsi="Times New Roman"/>
          <w:color w:val="auto"/>
          <w:kern w:val="2"/>
          <w:sz w:val="24"/>
          <w:szCs w:val="24"/>
          <w:lang w:eastAsia="en-US"/>
          <w14:ligatures w14:val="standardContextual"/>
        </w:rPr>
      </w:pPr>
      <w:r w:rsidRPr="00E241CE">
        <w:rPr>
          <w:rFonts w:ascii="Times New Roman" w:eastAsiaTheme="minorHAnsi" w:hAnsi="Times New Roman"/>
          <w:color w:val="auto"/>
          <w:kern w:val="2"/>
          <w:sz w:val="24"/>
          <w:szCs w:val="24"/>
          <w:lang w:eastAsia="en-US"/>
          <w14:ligatures w14:val="standardContextual"/>
        </w:rPr>
        <w:t>Thus, i</w:t>
      </w:r>
      <w:r w:rsidR="00FC661D" w:rsidRPr="00E241CE">
        <w:rPr>
          <w:rFonts w:ascii="Times New Roman" w:eastAsiaTheme="minorHAnsi" w:hAnsi="Times New Roman"/>
          <w:color w:val="auto"/>
          <w:kern w:val="2"/>
          <w:sz w:val="24"/>
          <w:szCs w:val="24"/>
          <w:lang w:eastAsia="en-US"/>
          <w14:ligatures w14:val="standardContextual"/>
        </w:rPr>
        <w:t xml:space="preserve">nternational human rights law makes clear that hitting children in school settings by teachers is forbidden. Since the UN General Assembly adopted the CRC in 1989, a substantial number of countries have taken steps to ban corporal punishment in schools, even though they have often been lax in enforcing their laws. High-level courts in many regions and countries including the Delhi Hight Court in 2000 have condemned corporal punishment in schools and required its prohibition. However, underenforcement remains a serious </w:t>
      </w:r>
      <w:r w:rsidR="002A2466" w:rsidRPr="00E241CE">
        <w:rPr>
          <w:rFonts w:ascii="Times New Roman" w:eastAsiaTheme="minorHAnsi" w:hAnsi="Times New Roman"/>
          <w:color w:val="auto"/>
          <w:kern w:val="2"/>
          <w:sz w:val="24"/>
          <w:szCs w:val="24"/>
          <w:lang w:eastAsia="en-US"/>
          <w14:ligatures w14:val="standardContextual"/>
        </w:rPr>
        <w:t xml:space="preserve">concern. </w:t>
      </w:r>
      <w:r w:rsidR="00FC661D" w:rsidRPr="00E241CE">
        <w:rPr>
          <w:rFonts w:ascii="Times New Roman" w:eastAsiaTheme="minorHAnsi" w:hAnsi="Times New Roman"/>
          <w:color w:val="auto"/>
          <w:kern w:val="2"/>
          <w:sz w:val="24"/>
          <w:szCs w:val="24"/>
          <w:lang w:eastAsia="en-US"/>
          <w14:ligatures w14:val="standardContextual"/>
        </w:rPr>
        <w:t xml:space="preserve"> </w:t>
      </w:r>
    </w:p>
    <w:p w14:paraId="508CB19A" w14:textId="77777777" w:rsidR="00FC661D" w:rsidRPr="00E241CE" w:rsidRDefault="00FC661D" w:rsidP="00FC661D">
      <w:pPr>
        <w:pStyle w:val="p1"/>
        <w:ind w:firstLine="720"/>
        <w:jc w:val="both"/>
        <w:rPr>
          <w:rFonts w:ascii="Times New Roman" w:eastAsiaTheme="minorHAnsi" w:hAnsi="Times New Roman"/>
          <w:color w:val="auto"/>
          <w:kern w:val="2"/>
          <w:sz w:val="24"/>
          <w:szCs w:val="24"/>
          <w:lang w:eastAsia="en-US"/>
          <w14:ligatures w14:val="standardContextual"/>
        </w:rPr>
      </w:pPr>
    </w:p>
    <w:p w14:paraId="63042864" w14:textId="6C94465E" w:rsidR="000C1593" w:rsidRPr="00E241CE" w:rsidRDefault="00FC661D" w:rsidP="000C1593">
      <w:pPr>
        <w:pStyle w:val="p1"/>
        <w:ind w:firstLine="720"/>
        <w:jc w:val="both"/>
        <w:rPr>
          <w:rFonts w:ascii="Times New Roman" w:eastAsiaTheme="minorHAnsi" w:hAnsi="Times New Roman"/>
          <w:color w:val="auto"/>
          <w:kern w:val="2"/>
          <w:sz w:val="24"/>
          <w:szCs w:val="24"/>
          <w:lang w:eastAsia="en-US"/>
          <w14:ligatures w14:val="standardContextual"/>
        </w:rPr>
      </w:pPr>
      <w:r w:rsidRPr="00E241CE">
        <w:rPr>
          <w:rFonts w:ascii="Times New Roman" w:eastAsiaTheme="minorHAnsi" w:hAnsi="Times New Roman"/>
          <w:color w:val="auto"/>
          <w:kern w:val="2"/>
          <w:sz w:val="24"/>
          <w:szCs w:val="24"/>
          <w:lang w:eastAsia="en-US"/>
          <w14:ligatures w14:val="standardContextual"/>
        </w:rPr>
        <w:t>For effective enforcement to take place</w:t>
      </w:r>
      <w:r w:rsidR="000C1593" w:rsidRPr="00E241CE">
        <w:rPr>
          <w:rFonts w:ascii="Times New Roman" w:eastAsiaTheme="minorHAnsi" w:hAnsi="Times New Roman"/>
          <w:color w:val="auto"/>
          <w:kern w:val="2"/>
          <w:sz w:val="24"/>
          <w:szCs w:val="24"/>
          <w:lang w:eastAsia="en-US"/>
          <w14:ligatures w14:val="standardContextual"/>
        </w:rPr>
        <w:t xml:space="preserve">, effective reporting must take place. “The public image of violence in schools has been coloured by the media’s focus on extreme events, such as school shootings; the targeting of schools for attacks and mass kidnappings. However, such events are very rare. More common are forms of violence that go unreported and may be so tolerated and perhaps so actively condoned by the public and by official policy and law that they are not deemed worthy of study, discussion or debate.” Limiting depictions of child abuse may </w:t>
      </w:r>
      <w:r w:rsidR="007A615E" w:rsidRPr="00E241CE">
        <w:rPr>
          <w:rFonts w:ascii="Times New Roman" w:eastAsiaTheme="minorHAnsi" w:hAnsi="Times New Roman"/>
          <w:color w:val="auto"/>
          <w:kern w:val="2"/>
          <w:sz w:val="24"/>
          <w:szCs w:val="24"/>
          <w:lang w:eastAsia="en-US"/>
          <w14:ligatures w14:val="standardContextual"/>
        </w:rPr>
        <w:t xml:space="preserve">thus </w:t>
      </w:r>
      <w:r w:rsidR="000C1593" w:rsidRPr="00E241CE">
        <w:rPr>
          <w:rFonts w:ascii="Times New Roman" w:eastAsiaTheme="minorHAnsi" w:hAnsi="Times New Roman"/>
          <w:color w:val="auto"/>
          <w:kern w:val="2"/>
          <w:sz w:val="24"/>
          <w:szCs w:val="24"/>
          <w:lang w:eastAsia="en-US"/>
          <w14:ligatures w14:val="standardContextual"/>
        </w:rPr>
        <w:t>affect efforts to seek accountability for such abuse</w:t>
      </w:r>
      <w:r w:rsidR="007A615E" w:rsidRPr="00E241CE">
        <w:rPr>
          <w:rFonts w:ascii="Times New Roman" w:eastAsiaTheme="minorHAnsi" w:hAnsi="Times New Roman"/>
          <w:color w:val="auto"/>
          <w:kern w:val="2"/>
          <w:sz w:val="24"/>
          <w:szCs w:val="24"/>
          <w:lang w:eastAsia="en-US"/>
          <w14:ligatures w14:val="standardContextual"/>
        </w:rPr>
        <w:t xml:space="preserve"> in violation of Article 28 of the CRC</w:t>
      </w:r>
      <w:r w:rsidR="00536784" w:rsidRPr="00E241CE">
        <w:rPr>
          <w:rFonts w:ascii="Times New Roman" w:eastAsiaTheme="minorHAnsi" w:hAnsi="Times New Roman"/>
          <w:color w:val="auto"/>
          <w:kern w:val="2"/>
          <w:sz w:val="24"/>
          <w:szCs w:val="24"/>
          <w:lang w:eastAsia="en-US"/>
          <w14:ligatures w14:val="standardContextual"/>
        </w:rPr>
        <w:t xml:space="preserve"> and Article 19 (on freedom of expression) of the International Covenant on Civil and Political Rights. </w:t>
      </w:r>
    </w:p>
    <w:p w14:paraId="789D359C" w14:textId="77777777" w:rsidR="007A615E" w:rsidRPr="00E241CE" w:rsidRDefault="007A615E" w:rsidP="000C1593">
      <w:pPr>
        <w:pStyle w:val="p1"/>
        <w:ind w:firstLine="720"/>
        <w:jc w:val="both"/>
        <w:rPr>
          <w:rFonts w:ascii="Times New Roman" w:eastAsiaTheme="minorHAnsi" w:hAnsi="Times New Roman"/>
          <w:color w:val="auto"/>
          <w:kern w:val="2"/>
          <w:sz w:val="24"/>
          <w:szCs w:val="24"/>
          <w:lang w:eastAsia="en-US"/>
          <w14:ligatures w14:val="standardContextual"/>
        </w:rPr>
      </w:pPr>
    </w:p>
    <w:p w14:paraId="0A0A65C4" w14:textId="0F5C7CB6" w:rsidR="007A615E" w:rsidRPr="00E241CE" w:rsidRDefault="007A615E" w:rsidP="00536784">
      <w:pPr>
        <w:pStyle w:val="p1"/>
        <w:ind w:firstLine="720"/>
        <w:jc w:val="both"/>
        <w:rPr>
          <w:rFonts w:ascii="Times New Roman" w:eastAsiaTheme="minorHAnsi" w:hAnsi="Times New Roman"/>
          <w:color w:val="auto"/>
          <w:kern w:val="2"/>
          <w:sz w:val="24"/>
          <w:szCs w:val="24"/>
          <w:lang w:eastAsia="en-US"/>
          <w14:ligatures w14:val="standardContextual"/>
        </w:rPr>
      </w:pPr>
      <w:r w:rsidRPr="00E241CE">
        <w:rPr>
          <w:rFonts w:ascii="Times New Roman" w:eastAsiaTheme="minorHAnsi" w:hAnsi="Times New Roman"/>
          <w:color w:val="auto"/>
          <w:kern w:val="2"/>
          <w:sz w:val="24"/>
          <w:szCs w:val="24"/>
          <w:lang w:eastAsia="en-US"/>
          <w14:ligatures w14:val="standardContextual"/>
        </w:rPr>
        <w:t>Social media companies, unlike states, are not direct signatories to the CRC</w:t>
      </w:r>
      <w:r w:rsidR="00536784" w:rsidRPr="00E241CE">
        <w:rPr>
          <w:rFonts w:ascii="Times New Roman" w:eastAsiaTheme="minorHAnsi" w:hAnsi="Times New Roman"/>
          <w:color w:val="auto"/>
          <w:kern w:val="2"/>
          <w:sz w:val="24"/>
          <w:szCs w:val="24"/>
          <w:lang w:eastAsia="en-US"/>
          <w14:ligatures w14:val="standardContextual"/>
        </w:rPr>
        <w:t xml:space="preserve"> or the ICCPR</w:t>
      </w:r>
      <w:r w:rsidRPr="00E241CE">
        <w:rPr>
          <w:rFonts w:ascii="Times New Roman" w:eastAsiaTheme="minorHAnsi" w:hAnsi="Times New Roman"/>
          <w:color w:val="auto"/>
          <w:kern w:val="2"/>
          <w:sz w:val="24"/>
          <w:szCs w:val="24"/>
          <w:lang w:eastAsia="en-US"/>
          <w14:ligatures w14:val="standardContextual"/>
        </w:rPr>
        <w:t xml:space="preserve">. However, the UN Guiding Principles on Business and Human Rights that Meta embraces require </w:t>
      </w:r>
      <w:r w:rsidR="00536784" w:rsidRPr="00E241CE">
        <w:rPr>
          <w:rFonts w:ascii="Times New Roman" w:eastAsiaTheme="minorHAnsi" w:hAnsi="Times New Roman"/>
          <w:color w:val="auto"/>
          <w:kern w:val="2"/>
          <w:sz w:val="24"/>
          <w:szCs w:val="24"/>
          <w:lang w:eastAsia="en-US"/>
          <w14:ligatures w14:val="standardContextual"/>
        </w:rPr>
        <w:t xml:space="preserve">social media companies to </w:t>
      </w:r>
      <w:r w:rsidRPr="00E241CE">
        <w:rPr>
          <w:rFonts w:ascii="Times New Roman" w:eastAsiaTheme="minorHAnsi" w:hAnsi="Times New Roman"/>
          <w:color w:val="auto"/>
          <w:kern w:val="2"/>
          <w:sz w:val="24"/>
          <w:szCs w:val="24"/>
          <w:lang w:eastAsia="en-US"/>
          <w14:ligatures w14:val="standardContextual"/>
        </w:rPr>
        <w:t>respect international human rights</w:t>
      </w:r>
      <w:r w:rsidR="00536784" w:rsidRPr="00E241CE">
        <w:rPr>
          <w:rFonts w:ascii="Times New Roman" w:eastAsiaTheme="minorHAnsi" w:hAnsi="Times New Roman"/>
          <w:color w:val="auto"/>
          <w:kern w:val="2"/>
          <w:sz w:val="24"/>
          <w:szCs w:val="24"/>
          <w:lang w:eastAsia="en-US"/>
          <w14:ligatures w14:val="standardContextual"/>
        </w:rPr>
        <w:t>.</w:t>
      </w:r>
    </w:p>
    <w:p w14:paraId="43FA8E14" w14:textId="28237DBA" w:rsidR="003D1A68" w:rsidRPr="00E241CE" w:rsidRDefault="007A615E" w:rsidP="000C1593">
      <w:pPr>
        <w:pStyle w:val="p1"/>
        <w:ind w:firstLine="720"/>
        <w:jc w:val="both"/>
        <w:rPr>
          <w:rFonts w:ascii="Times New Roman" w:eastAsiaTheme="minorHAnsi" w:hAnsi="Times New Roman"/>
          <w:color w:val="auto"/>
          <w:kern w:val="2"/>
          <w:sz w:val="24"/>
          <w:szCs w:val="24"/>
          <w:lang w:eastAsia="en-US"/>
          <w14:ligatures w14:val="standardContextual"/>
        </w:rPr>
      </w:pPr>
      <w:r w:rsidRPr="00E241CE">
        <w:rPr>
          <w:rFonts w:ascii="Times New Roman" w:eastAsiaTheme="minorHAnsi" w:hAnsi="Times New Roman"/>
          <w:color w:val="auto"/>
          <w:kern w:val="2"/>
          <w:sz w:val="24"/>
          <w:szCs w:val="24"/>
          <w:lang w:eastAsia="en-US"/>
          <w14:ligatures w14:val="standardContextual"/>
        </w:rPr>
        <w:lastRenderedPageBreak/>
        <w:t xml:space="preserve">Moreover, the use of </w:t>
      </w:r>
      <w:r w:rsidR="00610F2A" w:rsidRPr="00E241CE">
        <w:rPr>
          <w:rFonts w:ascii="Times New Roman" w:eastAsiaTheme="minorHAnsi" w:hAnsi="Times New Roman"/>
          <w:color w:val="auto"/>
          <w:kern w:val="2"/>
          <w:sz w:val="24"/>
          <w:szCs w:val="24"/>
          <w:lang w:eastAsia="en-US"/>
          <w14:ligatures w14:val="standardContextual"/>
        </w:rPr>
        <w:t>technological tools such as blocking lists and filters to combat the dissemination of child abuse material might lead to disproportiona</w:t>
      </w:r>
      <w:r w:rsidR="003D1A68" w:rsidRPr="00E241CE">
        <w:rPr>
          <w:rFonts w:ascii="Times New Roman" w:eastAsiaTheme="minorHAnsi" w:hAnsi="Times New Roman"/>
          <w:color w:val="auto"/>
          <w:kern w:val="2"/>
          <w:sz w:val="24"/>
          <w:szCs w:val="24"/>
          <w:lang w:eastAsia="en-US"/>
          <w14:ligatures w14:val="standardContextual"/>
        </w:rPr>
        <w:t>te</w:t>
      </w:r>
      <w:r w:rsidR="00610F2A" w:rsidRPr="00E241CE">
        <w:rPr>
          <w:rFonts w:ascii="Times New Roman" w:eastAsiaTheme="minorHAnsi" w:hAnsi="Times New Roman"/>
          <w:color w:val="auto"/>
          <w:kern w:val="2"/>
          <w:sz w:val="24"/>
          <w:szCs w:val="24"/>
          <w:lang w:eastAsia="en-US"/>
          <w14:ligatures w14:val="standardContextual"/>
        </w:rPr>
        <w:t xml:space="preserve"> restrictions to freedom of expression. It is not clear if such tools were deployed in the present case but if so, their use should be </w:t>
      </w:r>
      <w:r w:rsidR="003D1A68" w:rsidRPr="00E241CE">
        <w:rPr>
          <w:rFonts w:ascii="Times New Roman" w:eastAsiaTheme="minorHAnsi" w:hAnsi="Times New Roman"/>
          <w:color w:val="auto"/>
          <w:kern w:val="2"/>
          <w:sz w:val="24"/>
          <w:szCs w:val="24"/>
          <w:lang w:eastAsia="en-US"/>
          <w14:ligatures w14:val="standardContextual"/>
        </w:rPr>
        <w:t xml:space="preserve">subject to oversight and </w:t>
      </w:r>
      <w:r w:rsidR="00610F2A" w:rsidRPr="00E241CE">
        <w:rPr>
          <w:rFonts w:ascii="Times New Roman" w:eastAsiaTheme="minorHAnsi" w:hAnsi="Times New Roman"/>
          <w:color w:val="auto"/>
          <w:kern w:val="2"/>
          <w:sz w:val="24"/>
          <w:szCs w:val="24"/>
          <w:lang w:eastAsia="en-US"/>
          <w14:ligatures w14:val="standardContextual"/>
        </w:rPr>
        <w:t xml:space="preserve">reevaluated </w:t>
      </w:r>
      <w:r w:rsidR="003D1A68" w:rsidRPr="00E241CE">
        <w:rPr>
          <w:rFonts w:ascii="Times New Roman" w:eastAsiaTheme="minorHAnsi" w:hAnsi="Times New Roman"/>
          <w:color w:val="auto"/>
          <w:kern w:val="2"/>
          <w:sz w:val="24"/>
          <w:szCs w:val="24"/>
          <w:lang w:eastAsia="en-US"/>
          <w14:ligatures w14:val="standardContextual"/>
        </w:rPr>
        <w:t>considering</w:t>
      </w:r>
      <w:r w:rsidR="00610F2A" w:rsidRPr="00E241CE">
        <w:rPr>
          <w:rFonts w:ascii="Times New Roman" w:eastAsiaTheme="minorHAnsi" w:hAnsi="Times New Roman"/>
          <w:color w:val="auto"/>
          <w:kern w:val="2"/>
          <w:sz w:val="24"/>
          <w:szCs w:val="24"/>
          <w:lang w:eastAsia="en-US"/>
          <w14:ligatures w14:val="standardContextual"/>
        </w:rPr>
        <w:t xml:space="preserve"> awareness-raising </w:t>
      </w:r>
      <w:r w:rsidR="003D1A68" w:rsidRPr="00E241CE">
        <w:rPr>
          <w:rFonts w:ascii="Times New Roman" w:eastAsiaTheme="minorHAnsi" w:hAnsi="Times New Roman"/>
          <w:color w:val="auto"/>
          <w:kern w:val="2"/>
          <w:sz w:val="24"/>
          <w:szCs w:val="24"/>
          <w:lang w:eastAsia="en-US"/>
          <w14:ligatures w14:val="standardContextual"/>
        </w:rPr>
        <w:t xml:space="preserve">in the public interest of </w:t>
      </w:r>
      <w:r w:rsidR="009333EB" w:rsidRPr="00E241CE">
        <w:rPr>
          <w:rFonts w:ascii="Times New Roman" w:eastAsiaTheme="minorHAnsi" w:hAnsi="Times New Roman"/>
          <w:color w:val="auto"/>
          <w:kern w:val="2"/>
          <w:sz w:val="24"/>
          <w:szCs w:val="24"/>
          <w:lang w:eastAsia="en-US"/>
          <w14:ligatures w14:val="standardContextual"/>
        </w:rPr>
        <w:t xml:space="preserve">avoiding </w:t>
      </w:r>
      <w:r w:rsidR="003D1A68" w:rsidRPr="00E241CE">
        <w:rPr>
          <w:rFonts w:ascii="Times New Roman" w:eastAsiaTheme="minorHAnsi" w:hAnsi="Times New Roman"/>
          <w:color w:val="auto"/>
          <w:kern w:val="2"/>
          <w:sz w:val="24"/>
          <w:szCs w:val="24"/>
          <w:lang w:eastAsia="en-US"/>
          <w14:ligatures w14:val="standardContextual"/>
        </w:rPr>
        <w:t xml:space="preserve">violence against children in multiple contexts. </w:t>
      </w:r>
    </w:p>
    <w:p w14:paraId="7F961C3C" w14:textId="77777777" w:rsidR="00BF67E5" w:rsidRPr="00E241CE" w:rsidRDefault="00BF67E5" w:rsidP="000C1593">
      <w:pPr>
        <w:pStyle w:val="p1"/>
        <w:ind w:firstLine="720"/>
        <w:jc w:val="both"/>
        <w:rPr>
          <w:rFonts w:ascii="Times New Roman" w:eastAsiaTheme="minorHAnsi" w:hAnsi="Times New Roman"/>
          <w:color w:val="auto"/>
          <w:kern w:val="2"/>
          <w:sz w:val="24"/>
          <w:szCs w:val="24"/>
          <w:lang w:eastAsia="en-US"/>
          <w14:ligatures w14:val="standardContextual"/>
        </w:rPr>
      </w:pPr>
    </w:p>
    <w:p w14:paraId="046041C4" w14:textId="48C9767C" w:rsidR="00BF67E5" w:rsidRPr="00E241CE" w:rsidRDefault="00BF67E5" w:rsidP="00BF67E5">
      <w:pPr>
        <w:pStyle w:val="p1"/>
        <w:ind w:firstLine="720"/>
        <w:jc w:val="both"/>
        <w:rPr>
          <w:rFonts w:ascii="Times New Roman" w:eastAsiaTheme="minorHAnsi" w:hAnsi="Times New Roman"/>
          <w:color w:val="auto"/>
          <w:kern w:val="2"/>
          <w:sz w:val="24"/>
          <w:szCs w:val="24"/>
          <w:lang w:eastAsia="en-US"/>
          <w14:ligatures w14:val="standardContextual"/>
        </w:rPr>
      </w:pPr>
      <w:r w:rsidRPr="00E241CE">
        <w:rPr>
          <w:rFonts w:ascii="Times New Roman" w:eastAsiaTheme="minorHAnsi" w:hAnsi="Times New Roman"/>
          <w:color w:val="auto"/>
          <w:kern w:val="2"/>
          <w:sz w:val="24"/>
          <w:szCs w:val="24"/>
          <w:lang w:eastAsia="en-US"/>
          <w14:ligatures w14:val="standardContextual"/>
        </w:rPr>
        <w:t>Finally, where freedom of expression clashes with the protection of a child’s personal data, regional human rights courts have confirmed that the child’s best interests should be “a primary consideration” (</w:t>
      </w:r>
      <w:hyperlink r:id="rId6" w:anchor="{%22itemid%22:[%22001-204320%22]}" w:history="1">
        <w:r w:rsidRPr="00E241CE">
          <w:rPr>
            <w:rStyle w:val="Hyperlink"/>
            <w:rFonts w:ascii="Times New Roman" w:eastAsiaTheme="minorHAnsi" w:hAnsi="Times New Roman"/>
            <w:kern w:val="2"/>
            <w:sz w:val="24"/>
            <w:szCs w:val="24"/>
            <w:lang w:eastAsia="en-US"/>
            <w14:ligatures w14:val="standardContextual"/>
          </w:rPr>
          <w:t>N.Š. v. Croatia</w:t>
        </w:r>
      </w:hyperlink>
      <w:r w:rsidRPr="00E241CE">
        <w:rPr>
          <w:rFonts w:ascii="Times New Roman" w:eastAsiaTheme="minorHAnsi" w:hAnsi="Times New Roman"/>
          <w:color w:val="auto"/>
          <w:kern w:val="2"/>
          <w:sz w:val="24"/>
          <w:szCs w:val="24"/>
          <w:lang w:eastAsia="en-US"/>
          <w14:ligatures w14:val="standardContextual"/>
        </w:rPr>
        <w:t>, 2020, European Court of Human Rights). However, this does not mean that the child’s</w:t>
      </w:r>
      <w:r w:rsidR="00E241CE" w:rsidRPr="00E241CE">
        <w:rPr>
          <w:rFonts w:ascii="Times New Roman" w:eastAsiaTheme="minorHAnsi" w:hAnsi="Times New Roman"/>
          <w:color w:val="auto"/>
          <w:kern w:val="2"/>
          <w:sz w:val="24"/>
          <w:szCs w:val="24"/>
          <w:lang w:eastAsia="en-US"/>
          <w14:ligatures w14:val="standardContextual"/>
        </w:rPr>
        <w:t xml:space="preserve"> plausible intrusion of privacy</w:t>
      </w:r>
      <w:r w:rsidRPr="00E241CE">
        <w:rPr>
          <w:rFonts w:ascii="Times New Roman" w:eastAsiaTheme="minorHAnsi" w:hAnsi="Times New Roman"/>
          <w:color w:val="auto"/>
          <w:kern w:val="2"/>
          <w:sz w:val="24"/>
          <w:szCs w:val="24"/>
          <w:lang w:eastAsia="en-US"/>
          <w14:ligatures w14:val="standardContextual"/>
        </w:rPr>
        <w:t xml:space="preserve"> automatically and absolutely outweigh</w:t>
      </w:r>
      <w:r w:rsidR="00E241CE" w:rsidRPr="00E241CE">
        <w:rPr>
          <w:rFonts w:ascii="Times New Roman" w:eastAsiaTheme="minorHAnsi" w:hAnsi="Times New Roman"/>
          <w:color w:val="auto"/>
          <w:kern w:val="2"/>
          <w:sz w:val="24"/>
          <w:szCs w:val="24"/>
          <w:lang w:eastAsia="en-US"/>
          <w14:ligatures w14:val="standardContextual"/>
        </w:rPr>
        <w:t>s</w:t>
      </w:r>
      <w:r w:rsidRPr="00E241CE">
        <w:rPr>
          <w:rFonts w:ascii="Times New Roman" w:eastAsiaTheme="minorHAnsi" w:hAnsi="Times New Roman"/>
          <w:color w:val="auto"/>
          <w:kern w:val="2"/>
          <w:sz w:val="24"/>
          <w:szCs w:val="24"/>
          <w:lang w:eastAsia="en-US"/>
          <w14:ligatures w14:val="standardContextual"/>
        </w:rPr>
        <w:t xml:space="preserve"> any conflicting interests, such as in the present case – the public’s right to know about child abuse. </w:t>
      </w:r>
    </w:p>
    <w:p w14:paraId="5E57E462" w14:textId="77777777" w:rsidR="00BF67E5" w:rsidRPr="00E241CE" w:rsidRDefault="00BF67E5" w:rsidP="00BF67E5">
      <w:pPr>
        <w:pStyle w:val="p1"/>
        <w:ind w:firstLine="720"/>
        <w:jc w:val="both"/>
        <w:rPr>
          <w:rFonts w:ascii="Times New Roman" w:eastAsiaTheme="minorHAnsi" w:hAnsi="Times New Roman"/>
          <w:color w:val="auto"/>
          <w:kern w:val="2"/>
          <w:sz w:val="24"/>
          <w:szCs w:val="24"/>
          <w:lang w:eastAsia="en-US"/>
          <w14:ligatures w14:val="standardContextual"/>
        </w:rPr>
      </w:pPr>
    </w:p>
    <w:p w14:paraId="04FB149F" w14:textId="77777777" w:rsidR="00BF67E5" w:rsidRPr="00E241CE" w:rsidRDefault="00BF67E5" w:rsidP="000C1593">
      <w:pPr>
        <w:pStyle w:val="p1"/>
        <w:ind w:firstLine="720"/>
        <w:jc w:val="both"/>
        <w:rPr>
          <w:rFonts w:ascii="Times New Roman" w:eastAsiaTheme="minorHAnsi" w:hAnsi="Times New Roman"/>
          <w:color w:val="auto"/>
          <w:kern w:val="2"/>
          <w:sz w:val="24"/>
          <w:szCs w:val="24"/>
          <w:lang w:eastAsia="en-US"/>
          <w14:ligatures w14:val="standardContextual"/>
        </w:rPr>
      </w:pPr>
    </w:p>
    <w:p w14:paraId="18026030" w14:textId="77777777" w:rsidR="003D1A68" w:rsidRPr="00E241CE" w:rsidRDefault="003D1A68" w:rsidP="000C1593">
      <w:pPr>
        <w:pStyle w:val="p1"/>
        <w:ind w:firstLine="720"/>
        <w:jc w:val="both"/>
        <w:rPr>
          <w:rFonts w:ascii="Times New Roman" w:eastAsiaTheme="minorHAnsi" w:hAnsi="Times New Roman"/>
          <w:color w:val="auto"/>
          <w:kern w:val="2"/>
          <w:sz w:val="24"/>
          <w:szCs w:val="24"/>
          <w:lang w:eastAsia="en-US"/>
          <w14:ligatures w14:val="standardContextual"/>
        </w:rPr>
      </w:pPr>
    </w:p>
    <w:p w14:paraId="385B8809" w14:textId="77777777" w:rsidR="00FC661D" w:rsidRPr="00E241CE" w:rsidRDefault="00FC661D" w:rsidP="00FC661D">
      <w:pPr>
        <w:pStyle w:val="p1"/>
        <w:ind w:firstLine="720"/>
        <w:jc w:val="both"/>
        <w:rPr>
          <w:rFonts w:ascii="Times New Roman" w:eastAsiaTheme="minorHAnsi" w:hAnsi="Times New Roman"/>
          <w:color w:val="auto"/>
          <w:kern w:val="2"/>
          <w:sz w:val="24"/>
          <w:szCs w:val="24"/>
          <w:lang w:eastAsia="en-US"/>
          <w14:ligatures w14:val="standardContextual"/>
        </w:rPr>
      </w:pPr>
    </w:p>
    <w:p w14:paraId="21BBCCD2" w14:textId="77777777" w:rsidR="00FC661D" w:rsidRPr="00E241CE" w:rsidRDefault="00FC661D" w:rsidP="00FC661D">
      <w:pPr>
        <w:pStyle w:val="p1"/>
        <w:ind w:firstLine="720"/>
        <w:jc w:val="both"/>
        <w:rPr>
          <w:rFonts w:ascii="Times New Roman" w:eastAsiaTheme="minorHAnsi" w:hAnsi="Times New Roman"/>
          <w:color w:val="auto"/>
          <w:kern w:val="2"/>
          <w:sz w:val="24"/>
          <w:szCs w:val="24"/>
          <w:lang w:eastAsia="en-US"/>
          <w14:ligatures w14:val="standardContextual"/>
        </w:rPr>
      </w:pPr>
    </w:p>
    <w:p w14:paraId="29113603" w14:textId="77777777" w:rsidR="00FC661D" w:rsidRPr="00E241CE" w:rsidRDefault="00FC661D" w:rsidP="00FC661D">
      <w:pPr>
        <w:pStyle w:val="p1"/>
        <w:ind w:firstLine="720"/>
        <w:jc w:val="both"/>
        <w:rPr>
          <w:rFonts w:ascii="Times New Roman" w:eastAsiaTheme="minorHAnsi" w:hAnsi="Times New Roman"/>
          <w:color w:val="auto"/>
          <w:kern w:val="2"/>
          <w:sz w:val="24"/>
          <w:szCs w:val="24"/>
          <w:lang w:eastAsia="en-US"/>
          <w14:ligatures w14:val="standardContextual"/>
        </w:rPr>
      </w:pPr>
    </w:p>
    <w:p w14:paraId="0898A4A6" w14:textId="77777777" w:rsidR="00FC51B2" w:rsidRPr="00E241CE" w:rsidRDefault="00FC51B2" w:rsidP="00FC661D">
      <w:pPr>
        <w:pStyle w:val="p1"/>
        <w:jc w:val="both"/>
        <w:rPr>
          <w:rFonts w:ascii="Times New Roman" w:eastAsiaTheme="minorHAnsi" w:hAnsi="Times New Roman"/>
          <w:color w:val="auto"/>
          <w:kern w:val="2"/>
          <w:sz w:val="24"/>
          <w:szCs w:val="24"/>
          <w:lang w:eastAsia="en-US"/>
          <w14:ligatures w14:val="standardContextual"/>
        </w:rPr>
      </w:pPr>
    </w:p>
    <w:p w14:paraId="099667A5" w14:textId="77777777" w:rsidR="00FC51B2" w:rsidRPr="00E241CE" w:rsidRDefault="00FC51B2" w:rsidP="00FC661D">
      <w:pPr>
        <w:jc w:val="both"/>
        <w:rPr>
          <w:rFonts w:ascii="Times New Roman" w:hAnsi="Times New Roman" w:cs="Times New Roman"/>
        </w:rPr>
      </w:pPr>
    </w:p>
    <w:p w14:paraId="0836B7BB" w14:textId="77777777" w:rsidR="00FC51B2" w:rsidRPr="00E241CE" w:rsidRDefault="00FC51B2">
      <w:pPr>
        <w:jc w:val="both"/>
        <w:rPr>
          <w:rFonts w:ascii="Times New Roman" w:hAnsi="Times New Roman" w:cs="Times New Roman"/>
        </w:rPr>
      </w:pPr>
    </w:p>
    <w:sectPr w:rsidR="00FC51B2" w:rsidRPr="00E24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57D33"/>
    <w:multiLevelType w:val="multilevel"/>
    <w:tmpl w:val="B912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889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B2"/>
    <w:rsid w:val="000B1350"/>
    <w:rsid w:val="000C1593"/>
    <w:rsid w:val="002940E5"/>
    <w:rsid w:val="002A2466"/>
    <w:rsid w:val="00304144"/>
    <w:rsid w:val="003D1A68"/>
    <w:rsid w:val="004F2052"/>
    <w:rsid w:val="00536784"/>
    <w:rsid w:val="00610F2A"/>
    <w:rsid w:val="006E751B"/>
    <w:rsid w:val="007A615E"/>
    <w:rsid w:val="00847AFE"/>
    <w:rsid w:val="009333EB"/>
    <w:rsid w:val="00A74449"/>
    <w:rsid w:val="00BF67E5"/>
    <w:rsid w:val="00CA3524"/>
    <w:rsid w:val="00E241CE"/>
    <w:rsid w:val="00F9134A"/>
    <w:rsid w:val="00FC51B2"/>
    <w:rsid w:val="00FC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8A73C2"/>
  <w15:chartTrackingRefBased/>
  <w15:docId w15:val="{63CB80BD-12B4-564E-8659-8CBF13BF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1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1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1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1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1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1B2"/>
    <w:rPr>
      <w:rFonts w:eastAsiaTheme="majorEastAsia" w:cstheme="majorBidi"/>
      <w:color w:val="272727" w:themeColor="text1" w:themeTint="D8"/>
    </w:rPr>
  </w:style>
  <w:style w:type="paragraph" w:styleId="Title">
    <w:name w:val="Title"/>
    <w:basedOn w:val="Normal"/>
    <w:next w:val="Normal"/>
    <w:link w:val="TitleChar"/>
    <w:uiPriority w:val="10"/>
    <w:qFormat/>
    <w:rsid w:val="00FC51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1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1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51B2"/>
    <w:rPr>
      <w:i/>
      <w:iCs/>
      <w:color w:val="404040" w:themeColor="text1" w:themeTint="BF"/>
    </w:rPr>
  </w:style>
  <w:style w:type="paragraph" w:styleId="ListParagraph">
    <w:name w:val="List Paragraph"/>
    <w:basedOn w:val="Normal"/>
    <w:uiPriority w:val="34"/>
    <w:qFormat/>
    <w:rsid w:val="00FC51B2"/>
    <w:pPr>
      <w:ind w:left="720"/>
      <w:contextualSpacing/>
    </w:pPr>
  </w:style>
  <w:style w:type="character" w:styleId="IntenseEmphasis">
    <w:name w:val="Intense Emphasis"/>
    <w:basedOn w:val="DefaultParagraphFont"/>
    <w:uiPriority w:val="21"/>
    <w:qFormat/>
    <w:rsid w:val="00FC51B2"/>
    <w:rPr>
      <w:i/>
      <w:iCs/>
      <w:color w:val="0F4761" w:themeColor="accent1" w:themeShade="BF"/>
    </w:rPr>
  </w:style>
  <w:style w:type="paragraph" w:styleId="IntenseQuote">
    <w:name w:val="Intense Quote"/>
    <w:basedOn w:val="Normal"/>
    <w:next w:val="Normal"/>
    <w:link w:val="IntenseQuoteChar"/>
    <w:uiPriority w:val="30"/>
    <w:qFormat/>
    <w:rsid w:val="00FC5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1B2"/>
    <w:rPr>
      <w:i/>
      <w:iCs/>
      <w:color w:val="0F4761" w:themeColor="accent1" w:themeShade="BF"/>
    </w:rPr>
  </w:style>
  <w:style w:type="character" w:styleId="IntenseReference">
    <w:name w:val="Intense Reference"/>
    <w:basedOn w:val="DefaultParagraphFont"/>
    <w:uiPriority w:val="32"/>
    <w:qFormat/>
    <w:rsid w:val="00FC51B2"/>
    <w:rPr>
      <w:b/>
      <w:bCs/>
      <w:smallCaps/>
      <w:color w:val="0F4761" w:themeColor="accent1" w:themeShade="BF"/>
      <w:spacing w:val="5"/>
    </w:rPr>
  </w:style>
  <w:style w:type="paragraph" w:customStyle="1" w:styleId="p1">
    <w:name w:val="p1"/>
    <w:basedOn w:val="Normal"/>
    <w:rsid w:val="00FC51B2"/>
    <w:rPr>
      <w:rFonts w:ascii="Helvetica" w:eastAsia="Times New Roman" w:hAnsi="Helvetica" w:cs="Times New Roman"/>
      <w:color w:val="141215"/>
      <w:kern w:val="0"/>
      <w:sz w:val="17"/>
      <w:szCs w:val="17"/>
      <w:lang w:eastAsia="en-GB"/>
      <w14:ligatures w14:val="none"/>
    </w:rPr>
  </w:style>
  <w:style w:type="character" w:customStyle="1" w:styleId="apple-converted-space">
    <w:name w:val="apple-converted-space"/>
    <w:basedOn w:val="DefaultParagraphFont"/>
    <w:rsid w:val="00FC661D"/>
  </w:style>
  <w:style w:type="character" w:styleId="Hyperlink">
    <w:name w:val="Hyperlink"/>
    <w:basedOn w:val="DefaultParagraphFont"/>
    <w:uiPriority w:val="99"/>
    <w:unhideWhenUsed/>
    <w:rsid w:val="000C1593"/>
    <w:rPr>
      <w:color w:val="467886" w:themeColor="hyperlink"/>
      <w:u w:val="single"/>
    </w:rPr>
  </w:style>
  <w:style w:type="character" w:styleId="UnresolvedMention">
    <w:name w:val="Unresolved Mention"/>
    <w:basedOn w:val="DefaultParagraphFont"/>
    <w:uiPriority w:val="99"/>
    <w:semiHidden/>
    <w:unhideWhenUsed/>
    <w:rsid w:val="000C1593"/>
    <w:rPr>
      <w:color w:val="605E5C"/>
      <w:shd w:val="clear" w:color="auto" w:fill="E1DFDD"/>
    </w:rPr>
  </w:style>
  <w:style w:type="character" w:customStyle="1" w:styleId="s1">
    <w:name w:val="s1"/>
    <w:basedOn w:val="DefaultParagraphFont"/>
    <w:rsid w:val="00BF67E5"/>
    <w:rPr>
      <w:color w:val="0B5C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5057">
      <w:bodyDiv w:val="1"/>
      <w:marLeft w:val="0"/>
      <w:marRight w:val="0"/>
      <w:marTop w:val="0"/>
      <w:marBottom w:val="0"/>
      <w:divBdr>
        <w:top w:val="none" w:sz="0" w:space="0" w:color="auto"/>
        <w:left w:val="none" w:sz="0" w:space="0" w:color="auto"/>
        <w:bottom w:val="none" w:sz="0" w:space="0" w:color="auto"/>
        <w:right w:val="none" w:sz="0" w:space="0" w:color="auto"/>
      </w:divBdr>
    </w:div>
    <w:div w:id="22486727">
      <w:bodyDiv w:val="1"/>
      <w:marLeft w:val="0"/>
      <w:marRight w:val="0"/>
      <w:marTop w:val="0"/>
      <w:marBottom w:val="0"/>
      <w:divBdr>
        <w:top w:val="none" w:sz="0" w:space="0" w:color="auto"/>
        <w:left w:val="none" w:sz="0" w:space="0" w:color="auto"/>
        <w:bottom w:val="none" w:sz="0" w:space="0" w:color="auto"/>
        <w:right w:val="none" w:sz="0" w:space="0" w:color="auto"/>
      </w:divBdr>
    </w:div>
    <w:div w:id="127743237">
      <w:bodyDiv w:val="1"/>
      <w:marLeft w:val="0"/>
      <w:marRight w:val="0"/>
      <w:marTop w:val="0"/>
      <w:marBottom w:val="0"/>
      <w:divBdr>
        <w:top w:val="none" w:sz="0" w:space="0" w:color="auto"/>
        <w:left w:val="none" w:sz="0" w:space="0" w:color="auto"/>
        <w:bottom w:val="none" w:sz="0" w:space="0" w:color="auto"/>
        <w:right w:val="none" w:sz="0" w:space="0" w:color="auto"/>
      </w:divBdr>
    </w:div>
    <w:div w:id="610555988">
      <w:bodyDiv w:val="1"/>
      <w:marLeft w:val="0"/>
      <w:marRight w:val="0"/>
      <w:marTop w:val="0"/>
      <w:marBottom w:val="0"/>
      <w:divBdr>
        <w:top w:val="none" w:sz="0" w:space="0" w:color="auto"/>
        <w:left w:val="none" w:sz="0" w:space="0" w:color="auto"/>
        <w:bottom w:val="none" w:sz="0" w:space="0" w:color="auto"/>
        <w:right w:val="none" w:sz="0" w:space="0" w:color="auto"/>
      </w:divBdr>
    </w:div>
    <w:div w:id="813720062">
      <w:bodyDiv w:val="1"/>
      <w:marLeft w:val="0"/>
      <w:marRight w:val="0"/>
      <w:marTop w:val="0"/>
      <w:marBottom w:val="0"/>
      <w:divBdr>
        <w:top w:val="none" w:sz="0" w:space="0" w:color="auto"/>
        <w:left w:val="none" w:sz="0" w:space="0" w:color="auto"/>
        <w:bottom w:val="none" w:sz="0" w:space="0" w:color="auto"/>
        <w:right w:val="none" w:sz="0" w:space="0" w:color="auto"/>
      </w:divBdr>
    </w:div>
    <w:div w:id="887298299">
      <w:bodyDiv w:val="1"/>
      <w:marLeft w:val="0"/>
      <w:marRight w:val="0"/>
      <w:marTop w:val="0"/>
      <w:marBottom w:val="0"/>
      <w:divBdr>
        <w:top w:val="none" w:sz="0" w:space="0" w:color="auto"/>
        <w:left w:val="none" w:sz="0" w:space="0" w:color="auto"/>
        <w:bottom w:val="none" w:sz="0" w:space="0" w:color="auto"/>
        <w:right w:val="none" w:sz="0" w:space="0" w:color="auto"/>
      </w:divBdr>
    </w:div>
    <w:div w:id="1269040526">
      <w:bodyDiv w:val="1"/>
      <w:marLeft w:val="0"/>
      <w:marRight w:val="0"/>
      <w:marTop w:val="0"/>
      <w:marBottom w:val="0"/>
      <w:divBdr>
        <w:top w:val="none" w:sz="0" w:space="0" w:color="auto"/>
        <w:left w:val="none" w:sz="0" w:space="0" w:color="auto"/>
        <w:bottom w:val="none" w:sz="0" w:space="0" w:color="auto"/>
        <w:right w:val="none" w:sz="0" w:space="0" w:color="auto"/>
      </w:divBdr>
    </w:div>
    <w:div w:id="1474905172">
      <w:bodyDiv w:val="1"/>
      <w:marLeft w:val="0"/>
      <w:marRight w:val="0"/>
      <w:marTop w:val="0"/>
      <w:marBottom w:val="0"/>
      <w:divBdr>
        <w:top w:val="none" w:sz="0" w:space="0" w:color="auto"/>
        <w:left w:val="none" w:sz="0" w:space="0" w:color="auto"/>
        <w:bottom w:val="none" w:sz="0" w:space="0" w:color="auto"/>
        <w:right w:val="none" w:sz="0" w:space="0" w:color="auto"/>
      </w:divBdr>
    </w:div>
    <w:div w:id="1571042251">
      <w:bodyDiv w:val="1"/>
      <w:marLeft w:val="0"/>
      <w:marRight w:val="0"/>
      <w:marTop w:val="0"/>
      <w:marBottom w:val="0"/>
      <w:divBdr>
        <w:top w:val="none" w:sz="0" w:space="0" w:color="auto"/>
        <w:left w:val="none" w:sz="0" w:space="0" w:color="auto"/>
        <w:bottom w:val="none" w:sz="0" w:space="0" w:color="auto"/>
        <w:right w:val="none" w:sz="0" w:space="0" w:color="auto"/>
      </w:divBdr>
    </w:div>
    <w:div w:id="1724711193">
      <w:bodyDiv w:val="1"/>
      <w:marLeft w:val="0"/>
      <w:marRight w:val="0"/>
      <w:marTop w:val="0"/>
      <w:marBottom w:val="0"/>
      <w:divBdr>
        <w:top w:val="none" w:sz="0" w:space="0" w:color="auto"/>
        <w:left w:val="none" w:sz="0" w:space="0" w:color="auto"/>
        <w:bottom w:val="none" w:sz="0" w:space="0" w:color="auto"/>
        <w:right w:val="none" w:sz="0" w:space="0" w:color="auto"/>
      </w:divBdr>
    </w:div>
    <w:div w:id="1759986360">
      <w:bodyDiv w:val="1"/>
      <w:marLeft w:val="0"/>
      <w:marRight w:val="0"/>
      <w:marTop w:val="0"/>
      <w:marBottom w:val="0"/>
      <w:divBdr>
        <w:top w:val="none" w:sz="0" w:space="0" w:color="auto"/>
        <w:left w:val="none" w:sz="0" w:space="0" w:color="auto"/>
        <w:bottom w:val="none" w:sz="0" w:space="0" w:color="auto"/>
        <w:right w:val="none" w:sz="0" w:space="0" w:color="auto"/>
      </w:divBdr>
    </w:div>
    <w:div w:id="21461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doc.echr.coe.int/eng" TargetMode="External"/><Relationship Id="rId5" Type="http://schemas.openxmlformats.org/officeDocument/2006/relationships/hyperlink" Target="https://violenceagainstchildren.un.org/sites/violenceagainstchildren.un.org/files/document_files/world_report_on_violence_against_childr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Bilyana Petkova</dc:creator>
  <cp:keywords/>
  <dc:description/>
  <cp:lastModifiedBy>Bilyana Petkova</cp:lastModifiedBy>
  <cp:revision>7</cp:revision>
  <dcterms:created xsi:type="dcterms:W3CDTF">2025-05-17T11:17:00Z</dcterms:created>
  <dcterms:modified xsi:type="dcterms:W3CDTF">2025-05-20T07:55:00Z</dcterms:modified>
</cp:coreProperties>
</file>