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BBA" w:rsidRDefault="00594AB8">
      <w:pPr>
        <w:pStyle w:val="Textbody"/>
        <w:rPr>
          <w:rFonts w:hint="eastAsia"/>
        </w:rPr>
      </w:pPr>
      <w:bookmarkStart w:id="0" w:name="_GoBack"/>
      <w:bookmarkEnd w:id="0"/>
      <w:r>
        <w:rPr>
          <w:rStyle w:val="StrongEmphasis"/>
        </w:rPr>
        <w:t>COMMENT REGARDING META’S INTENTION TO EXPAND THE COMMUNITY NOTES PROGRAM BEYOND THE UNITED STATES</w:t>
      </w:r>
    </w:p>
    <w:p w:rsidR="00041BBA" w:rsidRDefault="00594AB8">
      <w:pPr>
        <w:pStyle w:val="Textbody"/>
        <w:rPr>
          <w:rFonts w:hint="eastAsia"/>
        </w:rPr>
      </w:pPr>
      <w:r>
        <w:t xml:space="preserve">On behalf of the </w:t>
      </w:r>
      <w:r>
        <w:rPr>
          <w:lang w:val="lt-LT"/>
        </w:rPr>
        <w:t>Lithuanian Association of Professional Journalists</w:t>
      </w:r>
      <w:r>
        <w:t xml:space="preserve">, we welcome </w:t>
      </w:r>
      <w:r>
        <w:t>Meta’s efforts to diversify its approaches to addressing mis- and disinformation across Meta-owned social media platforms by involving civil society in tackling misleading content and adapting the Community Notes program to different regions around the wor</w:t>
      </w:r>
      <w:r>
        <w:t>ld. However, we cannot overlook existing research and analyses showing that a community-notes-only approach is insufficient to address the complex and nuanced phenomenon of information distortions and may even produce counterproductive effects amid high po</w:t>
      </w:r>
      <w:r>
        <w:t>larization and foreign and domestic manipulation and interference.</w:t>
      </w:r>
    </w:p>
    <w:p w:rsidR="00041BBA" w:rsidRDefault="00594AB8">
      <w:pPr>
        <w:pStyle w:val="Textbody"/>
        <w:rPr>
          <w:rFonts w:hint="eastAsia"/>
        </w:rPr>
      </w:pPr>
      <w:r>
        <w:t>The Community Notes model, without expert anchoring, cannot replace cooperation with professional fact-checkers, whose effectiveness in correcting users’ inaccurate beliefs and reducing the</w:t>
      </w:r>
      <w:r>
        <w:t xml:space="preserve"> spread of misleading content has been demonstrated through large-scale research analysis.</w:t>
      </w:r>
      <w:r>
        <w:rPr>
          <w:rStyle w:val="FootnoteReference"/>
        </w:rPr>
        <w:footnoteReference w:id="1"/>
      </w:r>
    </w:p>
    <w:p w:rsidR="00041BBA" w:rsidRDefault="00594AB8">
      <w:pPr>
        <w:pStyle w:val="Textbody"/>
        <w:rPr>
          <w:rFonts w:hint="eastAsia"/>
        </w:rPr>
      </w:pPr>
      <w:r>
        <w:t>Below we outline the arguments on which our</w:t>
      </w:r>
      <w:r>
        <w:t xml:space="preserve"> recommendations regarding the further development of the Community Notes program are based:</w:t>
      </w:r>
    </w:p>
    <w:p w:rsidR="00041BBA" w:rsidRDefault="00594AB8">
      <w:pPr>
        <w:pStyle w:val="Heading3"/>
        <w:rPr>
          <w:rFonts w:hint="eastAsia"/>
        </w:rPr>
      </w:pPr>
      <w:r>
        <w:rPr>
          <w:rStyle w:val="StrongEmphasis"/>
        </w:rPr>
        <w:t>1. The quality of Community Notes directly depends on the work of professional fact-checkers</w:t>
      </w:r>
    </w:p>
    <w:p w:rsidR="00041BBA" w:rsidRDefault="00594AB8">
      <w:pPr>
        <w:pStyle w:val="Textbody"/>
        <w:rPr>
          <w:rFonts w:hint="eastAsia"/>
        </w:rPr>
      </w:pPr>
      <w:r>
        <w:t>An early-stage study by researchers at the University of Copenhagen, w</w:t>
      </w:r>
      <w:r>
        <w:t>hich analyzed 1.5 million Community Notes on X, showed that a significant proportion of notes – especially those related to political or health topics – relied on information published by professional fact-checkers. Community Notes that cited fact-checking</w:t>
      </w:r>
      <w:r>
        <w:t xml:space="preserve"> articles were also of higher quality or ‘more useful’ compared to others.</w:t>
      </w:r>
      <w:r>
        <w:rPr>
          <w:rStyle w:val="FootnoteReference"/>
        </w:rPr>
        <w:footnoteReference w:id="2"/>
      </w:r>
    </w:p>
    <w:p w:rsidR="00041BBA" w:rsidRDefault="00594AB8">
      <w:pPr>
        <w:pStyle w:val="Textbody"/>
        <w:rPr>
          <w:rFonts w:hint="eastAsia"/>
        </w:rPr>
      </w:pPr>
      <w:r>
        <w:t>An international study carried out simultaneously in four countries</w:t>
      </w:r>
      <w:r>
        <w:t xml:space="preserve"> facing different mis- and disinformation challenges – Argentina, Nigeria, South Africa, and the United Kingdom – </w:t>
      </w:r>
      <w:r>
        <w:rPr>
          <w:lang w:val="lt-LT"/>
        </w:rPr>
        <w:t>a</w:t>
      </w:r>
      <w:r>
        <w:t>lso found that fact-checks conducted by professional fact-checkers effectively reduced inaccurate beliefs in all countries, with the positive</w:t>
      </w:r>
      <w:r>
        <w:t xml:space="preserve"> effect lasting more than two weeks. The authors concluded that fact-checking is an effective method for countering information distortions across regions.</w:t>
      </w:r>
      <w:r>
        <w:rPr>
          <w:rStyle w:val="FootnoteReference"/>
        </w:rPr>
        <w:footnoteReference w:id="3"/>
      </w:r>
    </w:p>
    <w:p w:rsidR="00041BBA" w:rsidRDefault="00594AB8">
      <w:pPr>
        <w:pStyle w:val="Textbody"/>
        <w:rPr>
          <w:rFonts w:hint="eastAsia"/>
        </w:rPr>
      </w:pPr>
      <w:r>
        <w:t>These findings clearly indicate that users rely on the work of professional fact-checkers when seeking trustworthy information. Therefore, to develop an effective and sustainable Community Notes system, cooperation between civil s</w:t>
      </w:r>
      <w:r>
        <w:t>ociety and professional fact-checkers should be strengthened rather than weakened. Moreover, research shows that Community Notes can serve as an effective tool to increase user trust in professional fact-checking, at a time when declining confidence in pro</w:t>
      </w:r>
      <w:r>
        <w:t>fessional media is one of the key factors enabling the spread of misleading narratives.</w:t>
      </w:r>
      <w:r>
        <w:rPr>
          <w:rStyle w:val="FootnoteReference"/>
        </w:rPr>
        <w:footnoteReference w:id="4"/>
      </w:r>
    </w:p>
    <w:p w:rsidR="00041BBA" w:rsidRDefault="00594AB8">
      <w:pPr>
        <w:pStyle w:val="Textbody"/>
        <w:rPr>
          <w:rFonts w:hint="eastAsia"/>
        </w:rPr>
      </w:pPr>
      <w:r>
        <w:t>Only by integrating these two programs – the Community Notes system and the third-party fact-checking program – can meaningful results be achieved in reducing the volume of misleading content on social media.</w:t>
      </w:r>
    </w:p>
    <w:p w:rsidR="00041BBA" w:rsidRDefault="00594AB8">
      <w:pPr>
        <w:pStyle w:val="Heading3"/>
        <w:rPr>
          <w:rFonts w:hint="eastAsia"/>
        </w:rPr>
      </w:pPr>
      <w:r>
        <w:rPr>
          <w:rStyle w:val="StrongEmphasis"/>
        </w:rPr>
        <w:lastRenderedPageBreak/>
        <w:t xml:space="preserve">2. Community Notes lack speed and sufficient </w:t>
      </w:r>
      <w:r>
        <w:rPr>
          <w:rStyle w:val="StrongEmphasis"/>
        </w:rPr>
        <w:t>coverage</w:t>
      </w:r>
    </w:p>
    <w:p w:rsidR="00041BBA" w:rsidRDefault="00594AB8">
      <w:pPr>
        <w:pStyle w:val="Textbody"/>
        <w:rPr>
          <w:rFonts w:hint="eastAsia"/>
        </w:rPr>
      </w:pPr>
      <w:r>
        <w:t>Analyses of Community Notes on X show that notes often appear too late – typically appearing at least 15 hours after the initial misleading post. By that time, misleading messages have already spread and influenced users. Slow and insufficiently c</w:t>
      </w:r>
      <w:r>
        <w:t>omprehensive responses (due to character limits and lack of expert knowledge) pose significant risks during elections, crises, and other extraordinary situations such as war. Slow Community Notes and a substantial reduction in professionally verified conte</w:t>
      </w:r>
      <w:r>
        <w:t>nt (an inevitable outcome if third-party fact-checking partnerships are discontinued) could be particularly dangerous in countries experiencing information warfare and persistent disinformation from non-democratic regimes.</w:t>
      </w:r>
    </w:p>
    <w:p w:rsidR="00041BBA" w:rsidRDefault="00594AB8">
      <w:pPr>
        <w:pStyle w:val="Textbody"/>
        <w:rPr>
          <w:rFonts w:hint="eastAsia"/>
        </w:rPr>
      </w:pPr>
      <w:r>
        <w:t xml:space="preserve">An analysis by the authoritative </w:t>
      </w:r>
      <w:r>
        <w:t>Spanish fact-checking organization Maldita found that Community Notes citing fact-checkers appear 90 minutes earlier than other notes, as users evaluate them as useful more quickly.</w:t>
      </w:r>
    </w:p>
    <w:p w:rsidR="00041BBA" w:rsidRDefault="00594AB8">
      <w:pPr>
        <w:pStyle w:val="Textbody"/>
        <w:rPr>
          <w:rFonts w:hint="eastAsia"/>
        </w:rPr>
      </w:pPr>
      <w:r>
        <w:t>Additionally, the Community Notes program focuses primarily on highly visi</w:t>
      </w:r>
      <w:r>
        <w:t>ble accounts. This creates a risk of unmoderated ‘grey zones’, where disinformation narratives circulate and marginal ecosystems develop. Such gaps are particularly dangerous in countries targeted by Russian information operations, where actors spreading K</w:t>
      </w:r>
      <w:r>
        <w:t>remlin propaganda test misleading narratives in smaller, vulnerable communities (e.g., Russian-speaking diaspora groups in EU countries) before spreading them more widely. Without efficient tools to monitor such spaces and correct distorted beliefs, disinf</w:t>
      </w:r>
      <w:r>
        <w:t>ormation campaigns may become more effective, further increasing societal fragmentation.</w:t>
      </w:r>
    </w:p>
    <w:p w:rsidR="00041BBA" w:rsidRDefault="00594AB8">
      <w:pPr>
        <w:pStyle w:val="Heading3"/>
        <w:rPr>
          <w:rFonts w:hint="eastAsia"/>
        </w:rPr>
      </w:pPr>
      <w:r>
        <w:rPr>
          <w:rStyle w:val="StrongEmphasis"/>
        </w:rPr>
        <w:t>3. Without synergy with professional media, Community Notes may become a tool for interest groups or personal retaliation – particularly in countries targeted by non-d</w:t>
      </w:r>
      <w:r>
        <w:rPr>
          <w:rStyle w:val="StrongEmphasis"/>
        </w:rPr>
        <w:t>emocratic regimes</w:t>
      </w:r>
    </w:p>
    <w:p w:rsidR="00041BBA" w:rsidRDefault="00594AB8">
      <w:pPr>
        <w:pStyle w:val="Textbody"/>
        <w:rPr>
          <w:rFonts w:hint="eastAsia"/>
        </w:rPr>
      </w:pPr>
      <w:r>
        <w:t>Professional media and professional fact-checkers operate within institutional safeguards, such as journalistic codes of ethics and editorial oversight. They commit to transparency and accountability and publicly disclose contributors’ id</w:t>
      </w:r>
      <w:r>
        <w:t>entities. These safeguards prevent threats that community-driven systems cannot adequately counter – for example, sophisticated inauthentic activity through bots or coordinated attention-shifting campaigns.</w:t>
      </w:r>
    </w:p>
    <w:p w:rsidR="00041BBA" w:rsidRDefault="00594AB8">
      <w:pPr>
        <w:pStyle w:val="Textbody"/>
        <w:rPr>
          <w:rFonts w:hint="eastAsia"/>
        </w:rPr>
      </w:pPr>
      <w:r>
        <w:t>The absence of such safeguards increases the risk</w:t>
      </w:r>
      <w:r>
        <w:t xml:space="preserve"> of disinformation actors or political interference infiltrating the Community Notes system. Inauthentic accounts may impersonate real users; influential political actors may mobilize followers to mass-down vote accurate notes; subtle rhetorical manipulati</w:t>
      </w:r>
      <w:r>
        <w:t>on may be used to ostensibly correct misinformation while actually reinforcing manipulative narratives.</w:t>
      </w:r>
      <w:r>
        <w:rPr>
          <w:rStyle w:val="FootnoteReference"/>
        </w:rPr>
        <w:footnoteReference w:id="5"/>
      </w:r>
    </w:p>
    <w:p w:rsidR="00041BBA" w:rsidRDefault="00594AB8">
      <w:pPr>
        <w:pStyle w:val="Textbody"/>
        <w:rPr>
          <w:rFonts w:hint="eastAsia"/>
        </w:rPr>
      </w:pPr>
      <w:r>
        <w:t xml:space="preserve">These risks are even higher in countries that face less misinformational drift (inadvertent user error) and more coordinated disinformation attacks, state propaganda, or pressure </w:t>
      </w:r>
      <w:r>
        <w:t>from authoritarian-leaning local governments. In Eastern and Central Europe and the South Caucasus, where informational environments are heavily influenced by the Kremlin and non-democratic actors, malicious techniques such as content reporting abuse or co</w:t>
      </w:r>
      <w:r>
        <w:t>ordinated mass-sharing are already used to silence independent journalism, amplify regime-friendly narratives, and distort the information ecosystem.</w:t>
      </w:r>
    </w:p>
    <w:p w:rsidR="00041BBA" w:rsidRDefault="00594AB8">
      <w:pPr>
        <w:pStyle w:val="Textbody"/>
        <w:rPr>
          <w:rFonts w:hint="eastAsia"/>
        </w:rPr>
      </w:pPr>
      <w:r>
        <w:t>In such contexts, professional fact-checkers and journalists often possess unique local expertise, advance</w:t>
      </w:r>
      <w:r>
        <w:t>d verification skills, and access to expert networks enabling rapid responses to complex, evolving disinformation narratives (e.g., energy policy, NATO, war crimes, sanctions). Professional fact-checking organizations supported by global networks such as I</w:t>
      </w:r>
      <w:r>
        <w:t>FCN or EFCSN are also better equipped to withstand coordinated attacks than volunteer contributors, whose identities – if exposed – could make them vulnerable to silencing or manipulation.</w:t>
      </w:r>
    </w:p>
    <w:p w:rsidR="00041BBA" w:rsidRDefault="00594AB8">
      <w:pPr>
        <w:pStyle w:val="Heading3"/>
        <w:rPr>
          <w:rFonts w:hint="eastAsia"/>
        </w:rPr>
      </w:pPr>
      <w:r>
        <w:rPr>
          <w:rStyle w:val="StrongEmphasis"/>
        </w:rPr>
        <w:t>4. Effective implementation of Community Notes requires highly resi</w:t>
      </w:r>
      <w:r>
        <w:rPr>
          <w:rStyle w:val="StrongEmphasis"/>
        </w:rPr>
        <w:t>lient and civically engaged societies</w:t>
      </w:r>
    </w:p>
    <w:p w:rsidR="00041BBA" w:rsidRDefault="00594AB8">
      <w:pPr>
        <w:pStyle w:val="Textbody"/>
        <w:rPr>
          <w:rFonts w:hint="eastAsia"/>
        </w:rPr>
      </w:pPr>
      <w:r>
        <w:t>The Community Notes model relies on the ideal of an informed, civic-minded user motivated to enhance the information space for the common good. Such users can only be nurtured through sustained media and information li</w:t>
      </w:r>
      <w:r>
        <w:t>teracy (MIL) and civic education programs.</w:t>
      </w:r>
    </w:p>
    <w:p w:rsidR="00041BBA" w:rsidRDefault="00594AB8">
      <w:pPr>
        <w:pStyle w:val="Textbody"/>
        <w:rPr>
          <w:rFonts w:hint="eastAsia"/>
        </w:rPr>
      </w:pPr>
      <w:r>
        <w:t>However, current global conditions are unfavorable: trust in professional media has been declining, reaching only 40% worldwide and dropping to a record low of 28% in the United States.</w:t>
      </w:r>
      <w:r>
        <w:rPr>
          <w:rStyle w:val="FootnoteReference"/>
        </w:rPr>
        <w:footnoteReference w:id="6"/>
      </w:r>
      <w:r>
        <w:t xml:space="preserve"> </w:t>
      </w:r>
      <w:r>
        <w:rPr>
          <w:rStyle w:val="FootnoteReference"/>
        </w:rPr>
        <w:footnoteReference w:id="7"/>
      </w:r>
      <w:r>
        <w:t xml:space="preserve"> At the same time, political polarization is rising globally.</w:t>
      </w:r>
      <w:r>
        <w:rPr>
          <w:rStyle w:val="FootnoteReference"/>
        </w:rPr>
        <w:footnoteReference w:id="8"/>
      </w:r>
      <w:r>
        <w:t xml:space="preserve"> These trends hinder the development of societies resilient to disinformation.</w:t>
      </w:r>
    </w:p>
    <w:p w:rsidR="00041BBA" w:rsidRDefault="00594AB8">
      <w:pPr>
        <w:pStyle w:val="Textbody"/>
        <w:rPr>
          <w:rFonts w:hint="eastAsia"/>
        </w:rPr>
      </w:pPr>
      <w:r>
        <w:t>Communities lacking resilience and media li</w:t>
      </w:r>
      <w:r>
        <w:t>teracy may be unable to recognize or evaluate subtle manipulations. As a result, complex manipulations requiring broader contextual explanation may simply be overlooked or left uncorrected.</w:t>
      </w:r>
    </w:p>
    <w:p w:rsidR="00041BBA" w:rsidRDefault="00594AB8">
      <w:pPr>
        <w:pStyle w:val="Textbody"/>
        <w:rPr>
          <w:rFonts w:hint="eastAsia"/>
        </w:rPr>
      </w:pPr>
      <w:r>
        <w:t>Community Notes – short messages correcting misinformation – may b</w:t>
      </w:r>
      <w:r>
        <w:t>e too limited and insufficient in countries facing aggressive propaganda, disinformation, and manipulative half-truths or hate speech. Community members often lack the skills and resources to detect and respond to sophisticated manipulation techniques grou</w:t>
      </w:r>
      <w:r>
        <w:t>nded in cognitive biases. Professional fact-checkers, equipped with the necessary tools and expertise, can fill these gaps and help strengthen community resilience.</w:t>
      </w:r>
    </w:p>
    <w:p w:rsidR="00041BBA" w:rsidRDefault="00594AB8">
      <w:pPr>
        <w:pStyle w:val="Heading3"/>
        <w:rPr>
          <w:rFonts w:hint="eastAsia"/>
        </w:rPr>
      </w:pPr>
      <w:r>
        <w:rPr>
          <w:rStyle w:val="StrongEmphasis"/>
        </w:rPr>
        <w:t>5. Recommendations to the Oversight Board</w:t>
      </w:r>
    </w:p>
    <w:p w:rsidR="00041BBA" w:rsidRDefault="00594AB8">
      <w:pPr>
        <w:pStyle w:val="Textbody"/>
        <w:rPr>
          <w:rFonts w:hint="eastAsia"/>
        </w:rPr>
      </w:pPr>
      <w:r>
        <w:t>Based on the arguments presented in this document</w:t>
      </w:r>
      <w:r>
        <w:t>, we offer the following recommendations for the further development of the Community Notes program:</w:t>
      </w:r>
    </w:p>
    <w:p w:rsidR="00041BBA" w:rsidRDefault="00594AB8">
      <w:pPr>
        <w:pStyle w:val="Textbody"/>
        <w:numPr>
          <w:ilvl w:val="0"/>
          <w:numId w:val="1"/>
        </w:numPr>
        <w:rPr>
          <w:rFonts w:hint="eastAsia"/>
        </w:rPr>
      </w:pPr>
      <w:r>
        <w:rPr>
          <w:rStyle w:val="StrongEmphasis"/>
        </w:rPr>
        <w:t>The expansion of the Community Notes model should not entail the discontinuation of third-party fact-checking programs.</w:t>
      </w:r>
      <w:r>
        <w:t xml:space="preserve"> In all countries – and especially i</w:t>
      </w:r>
      <w:r>
        <w:t>n those facing high polarization and foreign interference – Meta should maintain or expand partnerships with independent third-party fact-checkers and news organizations, using Community Notes as a discovery and amplification layer rather than a replacemen</w:t>
      </w:r>
      <w:r>
        <w:t>t. Such synergy would reduce misleading content on Meta platforms, build trust across different societal groups, and strengthen resilience to disinformation. Mis- and disinformation are complex problems requiring complementary and mutually reinforcing solu</w:t>
      </w:r>
      <w:r>
        <w:t>tions.</w:t>
      </w:r>
    </w:p>
    <w:p w:rsidR="00041BBA" w:rsidRDefault="00594AB8">
      <w:pPr>
        <w:pStyle w:val="Textbody"/>
        <w:numPr>
          <w:ilvl w:val="0"/>
          <w:numId w:val="1"/>
        </w:numPr>
        <w:rPr>
          <w:rFonts w:hint="eastAsia"/>
        </w:rPr>
      </w:pPr>
      <w:r>
        <w:rPr>
          <w:rStyle w:val="StrongEmphasis"/>
        </w:rPr>
        <w:t>Countries experiencing democratic backsliding or foreign information interference should not be early candidates for Community Notes implementation</w:t>
      </w:r>
      <w:r>
        <w:t>, especially if this would entail discontinuing collaborations with professional media. Meta acknowled</w:t>
      </w:r>
      <w:r>
        <w:t>ges that Community Notes remain an experimental model with limited evidence on its effectiveness outside the U.S. Weakening expert input in these contexts would pose significant risks to electoral integrity, public safety, and minority rights.</w:t>
      </w:r>
    </w:p>
    <w:p w:rsidR="00041BBA" w:rsidRDefault="00594AB8">
      <w:pPr>
        <w:pStyle w:val="Textbody"/>
        <w:numPr>
          <w:ilvl w:val="0"/>
          <w:numId w:val="1"/>
        </w:numPr>
        <w:rPr>
          <w:rFonts w:hint="eastAsia"/>
        </w:rPr>
      </w:pPr>
      <w:r>
        <w:rPr>
          <w:rStyle w:val="StrongEmphasis"/>
        </w:rPr>
        <w:t>Risk assessm</w:t>
      </w:r>
      <w:r>
        <w:rPr>
          <w:rStyle w:val="StrongEmphasis"/>
        </w:rPr>
        <w:t>ents preceding Community Notes expansion must evaluate vulnerability to coordinated information operations.</w:t>
      </w:r>
      <w:r>
        <w:t xml:space="preserve"> Before deployment, Meta should assess levels of social polarization, domestic and foreign information operations aimed at undermining democratic pro</w:t>
      </w:r>
      <w:r>
        <w:t>cesses, societal composition (especially where minority groups are targeted by information manipulation), and levels of community readiness and media literacy. High-risk ratings in these categories should indicate either that the country is not ready for C</w:t>
      </w:r>
      <w:r>
        <w:t>ommunity Notes or that the program must be coupled with reinforced partnerships with professional media and fact-checking initiatives.</w:t>
      </w:r>
    </w:p>
    <w:p w:rsidR="00041BBA" w:rsidRDefault="00594AB8">
      <w:pPr>
        <w:pStyle w:val="Textbody"/>
        <w:numPr>
          <w:ilvl w:val="0"/>
          <w:numId w:val="1"/>
        </w:numPr>
        <w:rPr>
          <w:rFonts w:hint="eastAsia"/>
        </w:rPr>
      </w:pPr>
      <w:r>
        <w:rPr>
          <w:rStyle w:val="StrongEmphasis"/>
        </w:rPr>
        <w:t>Transparency and independent audits are essential.</w:t>
      </w:r>
      <w:r>
        <w:t xml:space="preserve"> Both the selection algorithm and geographical roll out of Community No</w:t>
      </w:r>
      <w:r>
        <w:t>tes should undergo independent audits conducted by experts with deep understanding of the local political, cultural, and sociological context – especially in countries vulnerable to foreign or domestic information interference.</w:t>
      </w:r>
    </w:p>
    <w:p w:rsidR="00041BBA" w:rsidRDefault="00594AB8">
      <w:pPr>
        <w:pStyle w:val="Textbody"/>
        <w:rPr>
          <w:rFonts w:hint="eastAsia"/>
        </w:rPr>
      </w:pPr>
      <w:r>
        <w:rPr>
          <w:rStyle w:val="StrongEmphasis"/>
        </w:rPr>
        <w:t>Conclusions</w:t>
      </w:r>
    </w:p>
    <w:p w:rsidR="00041BBA" w:rsidRDefault="00594AB8">
      <w:pPr>
        <w:pStyle w:val="Textbody"/>
        <w:rPr>
          <w:rFonts w:hint="eastAsia"/>
        </w:rPr>
      </w:pPr>
      <w:r>
        <w:t xml:space="preserve">Community Notes </w:t>
      </w:r>
      <w:r>
        <w:t>could become an innovative method for fostering user engagement, civic responsibility, and awareness, but only if they are supported by the work of independent researchers and professional fact-checkers. If Community Notes are used as a substitute for prof</w:t>
      </w:r>
      <w:r>
        <w:t>essional fact-checkers rather than as a continuation of broader efforts to counter mis- and disinformation, there is a risk that this promising tool will merely deepen informational noise and become a plaything for political actors seeking influence or for</w:t>
      </w:r>
      <w:r>
        <w:t xml:space="preserve"> foreign-coordinated information operations.</w:t>
      </w:r>
    </w:p>
    <w:p w:rsidR="00041BBA" w:rsidRDefault="00594AB8">
      <w:pPr>
        <w:pStyle w:val="Textbody"/>
        <w:rPr>
          <w:rFonts w:hint="eastAsia"/>
        </w:rPr>
      </w:pPr>
      <w:r>
        <w:t>Research conducted to date shows that when submitting Community Notes, social platform users actively share information provided by professional fact-checking organizations, and users tend to trust that informat</w:t>
      </w:r>
      <w:r>
        <w:t>ion. Community Notes could effectively fill a repeatedly identified gap—namely, that fact-checkers alone cannot solve the mis- and disinformation problem because too few users see the content they produce.</w:t>
      </w:r>
      <w:r>
        <w:rPr>
          <w:rStyle w:val="FootnoteReference"/>
        </w:rPr>
        <w:footnoteReference w:id="9"/>
      </w:r>
      <w:r>
        <w:t xml:space="preserve"> Community Notes could help ensure that fact-checkers’ findings are more visible and that public trust in</w:t>
      </w:r>
      <w:r>
        <w:t xml:space="preserve"> professional media increases. Among societal groups inclined to view fact-checkers’ work skeptically, Community Notes could serve as a bridge, ensuring that factually accurate information reaches these audiences.</w:t>
      </w:r>
    </w:p>
    <w:p w:rsidR="00041BBA" w:rsidRDefault="00594AB8">
      <w:pPr>
        <w:pStyle w:val="Textbody"/>
        <w:rPr>
          <w:rFonts w:hint="eastAsia"/>
        </w:rPr>
      </w:pPr>
      <w:r>
        <w:t>When implementing Community Notes in count</w:t>
      </w:r>
      <w:r>
        <w:t xml:space="preserve">ries with sensitive geopolitical contexts, such as Lithuania – which is a NATO Eastern Flank or front line state, consistently targeted by Russian information interference and destabilizing activities – it is essential to take into account the insights of </w:t>
      </w:r>
      <w:r>
        <w:t>independent local experts and to responsibly assess the community’s preparedness to withstand information threats.</w:t>
      </w:r>
    </w:p>
    <w:p w:rsidR="00041BBA" w:rsidRDefault="00594AB8">
      <w:pPr>
        <w:pStyle w:val="Textbody"/>
        <w:rPr>
          <w:rFonts w:hint="eastAsia"/>
        </w:rPr>
      </w:pPr>
      <w:r>
        <w:t>Data collected by the European Center of Excellence for Countering Hybrid Threats (Hybrid CoE) indicate that the Kremlin employs sophisticate</w:t>
      </w:r>
      <w:r>
        <w:t>d information operations against countries in the Baltic Sea region, including coordinated disinformation dissemination, influence operations, counterattacks, and the instrumentation of Russian-speaking diasporas.</w:t>
      </w:r>
      <w:r>
        <w:rPr>
          <w:rStyle w:val="FootnoteReference"/>
        </w:rPr>
        <w:footnoteReference w:id="10"/>
      </w:r>
      <w:r>
        <w:t xml:space="preserve"> These attacks aim to und</w:t>
      </w:r>
      <w:r>
        <w:t>ermine trust in democratic institutions, NATO, and the EU; to fuel internal conflicts; to discredit regional support for Ukraine; and to weaken societal resilience and political stability. A community weakened by a hostile regime – and lacking a strong pil</w:t>
      </w:r>
      <w:r>
        <w:t>lar of professional media – will be unable to counter the threats posed by mis- and disinformation or to engage effectively in the Community Notes program.</w:t>
      </w:r>
    </w:p>
    <w:p w:rsidR="00041BBA" w:rsidRDefault="00594AB8">
      <w:pPr>
        <w:pStyle w:val="Textbody"/>
        <w:rPr>
          <w:rFonts w:hint="eastAsia"/>
        </w:rPr>
      </w:pPr>
      <w:r>
        <w:t>We urge the Oversight Board to take these arguments into account when assessing the potential expans</w:t>
      </w:r>
      <w:r>
        <w:t>ion of the Community Notes program to other countries, and to ensure that all decisions are based on empirical evidence, especially when evaluating risks in states experiencing democratic backsliding and foreign attempts to interfere in the information env</w:t>
      </w:r>
      <w:r>
        <w:t>ironment.</w:t>
      </w:r>
    </w:p>
    <w:p w:rsidR="00041BBA" w:rsidRDefault="00041BBA">
      <w:pPr>
        <w:pStyle w:val="Standard"/>
        <w:rPr>
          <w:rFonts w:hint="eastAsia"/>
        </w:rPr>
      </w:pPr>
    </w:p>
    <w:sectPr w:rsidR="00041BB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94AB8">
      <w:pPr>
        <w:rPr>
          <w:rFonts w:hint="eastAsia"/>
        </w:rPr>
      </w:pPr>
      <w:r>
        <w:separator/>
      </w:r>
    </w:p>
  </w:endnote>
  <w:endnote w:type="continuationSeparator" w:id="0">
    <w:p w:rsidR="00000000" w:rsidRDefault="00594AB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94AB8">
      <w:pPr>
        <w:rPr>
          <w:rFonts w:hint="eastAsia"/>
        </w:rPr>
      </w:pPr>
      <w:r>
        <w:rPr>
          <w:color w:val="000000"/>
        </w:rPr>
        <w:separator/>
      </w:r>
    </w:p>
  </w:footnote>
  <w:footnote w:type="continuationSeparator" w:id="0">
    <w:p w:rsidR="00000000" w:rsidRDefault="00594AB8">
      <w:pPr>
        <w:rPr>
          <w:rFonts w:hint="eastAsia"/>
        </w:rPr>
      </w:pPr>
      <w:r>
        <w:continuationSeparator/>
      </w:r>
    </w:p>
  </w:footnote>
  <w:footnote w:id="1">
    <w:p w:rsidR="00041BBA" w:rsidRDefault="00594AB8">
      <w:pPr>
        <w:pStyle w:val="Footnote"/>
        <w:rPr>
          <w:rFonts w:hint="eastAsia"/>
        </w:rPr>
      </w:pPr>
      <w:r>
        <w:rPr>
          <w:rStyle w:val="FootnoteReference"/>
        </w:rPr>
        <w:footnoteRef/>
      </w:r>
      <w:hyperlink r:id="rId1" w:history="1">
        <w:r>
          <w:t>https://www.nature.com/articles/s41562-024-01973-x</w:t>
        </w:r>
      </w:hyperlink>
    </w:p>
  </w:footnote>
  <w:footnote w:id="2">
    <w:p w:rsidR="00041BBA" w:rsidRDefault="00594AB8">
      <w:pPr>
        <w:pStyle w:val="Footnote"/>
        <w:rPr>
          <w:rFonts w:hint="eastAsia"/>
        </w:rPr>
      </w:pPr>
      <w:r>
        <w:rPr>
          <w:rStyle w:val="FootnoteReference"/>
        </w:rPr>
        <w:footnoteRef/>
      </w:r>
      <w:hyperlink r:id="rId2" w:history="1">
        <w:r>
          <w:t>https://aclanthology.org/2025.acl-short.42.pdf</w:t>
        </w:r>
      </w:hyperlink>
    </w:p>
  </w:footnote>
  <w:footnote w:id="3">
    <w:p w:rsidR="00041BBA" w:rsidRDefault="00594AB8">
      <w:pPr>
        <w:pStyle w:val="Footnote"/>
        <w:rPr>
          <w:rFonts w:hint="eastAsia"/>
        </w:rPr>
      </w:pPr>
      <w:r>
        <w:rPr>
          <w:rStyle w:val="FootnoteReference"/>
        </w:rPr>
        <w:footnoteRef/>
      </w:r>
      <w:hyperlink r:id="rId3" w:history="1">
        <w:r>
          <w:t>https://pmc.ncbi.nlm.nih.gov</w:t>
        </w:r>
        <w:r>
          <w:t>/articles/PMC8449384/#s4</w:t>
        </w:r>
      </w:hyperlink>
    </w:p>
  </w:footnote>
  <w:footnote w:id="4">
    <w:p w:rsidR="00041BBA" w:rsidRDefault="00594AB8">
      <w:pPr>
        <w:pStyle w:val="Footnote"/>
        <w:rPr>
          <w:rFonts w:hint="eastAsia"/>
        </w:rPr>
      </w:pPr>
      <w:r>
        <w:rPr>
          <w:rStyle w:val="FootnoteReference"/>
        </w:rPr>
        <w:footnoteRef/>
      </w:r>
      <w:hyperlink r:id="rId4" w:history="1">
        <w:r>
          <w:t>https://academic.oup.com/pnasnexus/article/3/7/pgae217/7686087?login=false</w:t>
        </w:r>
      </w:hyperlink>
    </w:p>
  </w:footnote>
  <w:footnote w:id="5">
    <w:p w:rsidR="00041BBA" w:rsidRDefault="00594AB8">
      <w:pPr>
        <w:pStyle w:val="Footnote"/>
        <w:rPr>
          <w:rFonts w:hint="eastAsia"/>
        </w:rPr>
      </w:pPr>
      <w:r>
        <w:rPr>
          <w:rStyle w:val="FootnoteReference"/>
        </w:rPr>
        <w:footnoteRef/>
      </w:r>
      <w:hyperlink r:id="rId5" w:history="1">
        <w:r>
          <w:t>https://www.activefence.com/blog/community-notes-manipulation-threat-intel/</w:t>
        </w:r>
      </w:hyperlink>
    </w:p>
  </w:footnote>
  <w:footnote w:id="6">
    <w:p w:rsidR="00041BBA" w:rsidRDefault="00594AB8">
      <w:pPr>
        <w:pStyle w:val="Footnote"/>
        <w:rPr>
          <w:rFonts w:hint="eastAsia"/>
        </w:rPr>
      </w:pPr>
      <w:r>
        <w:rPr>
          <w:rStyle w:val="FootnoteReference"/>
        </w:rPr>
        <w:footnoteRef/>
      </w:r>
      <w:hyperlink r:id="rId6" w:history="1">
        <w:r>
          <w:t>https://reutersinstitute.politics.ox.ac.uk/digital-news-report/2025</w:t>
        </w:r>
      </w:hyperlink>
    </w:p>
  </w:footnote>
  <w:footnote w:id="7">
    <w:p w:rsidR="00041BBA" w:rsidRDefault="00594AB8">
      <w:pPr>
        <w:pStyle w:val="Footnote"/>
        <w:rPr>
          <w:rFonts w:hint="eastAsia"/>
        </w:rPr>
      </w:pPr>
      <w:r>
        <w:rPr>
          <w:rStyle w:val="FootnoteReference"/>
        </w:rPr>
        <w:footnoteRef/>
      </w:r>
      <w:hyperlink r:id="rId7" w:history="1">
        <w:r>
          <w:t>https://news.gallup.com/poll/695762/trust-media-new-low.aspx</w:t>
        </w:r>
      </w:hyperlink>
    </w:p>
  </w:footnote>
  <w:footnote w:id="8">
    <w:p w:rsidR="00041BBA" w:rsidRDefault="00594AB8">
      <w:pPr>
        <w:pStyle w:val="Footnote"/>
        <w:rPr>
          <w:rFonts w:hint="eastAsia"/>
        </w:rPr>
      </w:pPr>
      <w:r>
        <w:rPr>
          <w:rStyle w:val="FootnoteReference"/>
        </w:rPr>
        <w:footnoteRef/>
      </w:r>
      <w:hyperlink r:id="rId8" w:history="1">
        <w:r>
          <w:t>https://www.wtwco.com/en-ca/news/2025/06/political-polarisation-is-rising-globally-and-posing-new-challenges-for-businesses</w:t>
        </w:r>
      </w:hyperlink>
    </w:p>
  </w:footnote>
  <w:footnote w:id="9">
    <w:p w:rsidR="00041BBA" w:rsidRDefault="00594AB8">
      <w:pPr>
        <w:pStyle w:val="Footnote"/>
        <w:rPr>
          <w:rFonts w:hint="eastAsia"/>
        </w:rPr>
      </w:pPr>
      <w:r>
        <w:rPr>
          <w:rStyle w:val="FootnoteReference"/>
        </w:rPr>
        <w:footnoteRef/>
      </w:r>
      <w:hyperlink r:id="rId9" w:history="1">
        <w:r>
          <w:t>https://www.washingtonpost.com/outlook/2021/11/10/facebook-fact-checks-effective-research/</w:t>
        </w:r>
      </w:hyperlink>
    </w:p>
  </w:footnote>
  <w:footnote w:id="10">
    <w:p w:rsidR="00041BBA" w:rsidRDefault="00594AB8">
      <w:pPr>
        <w:pStyle w:val="Footnote"/>
        <w:rPr>
          <w:rFonts w:hint="eastAsia"/>
        </w:rPr>
      </w:pPr>
      <w:r>
        <w:rPr>
          <w:rStyle w:val="FootnoteReference"/>
        </w:rPr>
        <w:footnoteRef/>
      </w:r>
      <w:hyperlink r:id="rId10" w:history="1">
        <w:r>
          <w:t>https://www.hybridcoe.fi/wp-content/uploads/2024/05/20240530-Hybrid-CoE-Working-Paper-32-Russias-hybrid-threat-tactics-WEB.pdf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2D2A69"/>
    <w:multiLevelType w:val="multilevel"/>
    <w:tmpl w:val="5CEE999E"/>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41BBA"/>
    <w:rsid w:val="00041BBA"/>
    <w:rsid w:val="0059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0F19E7A-F650-4329-9610-44190FD9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Heading"/>
    <w:next w:val="Textbody"/>
    <w:pPr>
      <w:spacing w:before="140"/>
      <w:outlineLvl w:val="2"/>
    </w:pPr>
    <w:rPr>
      <w:rFonts w:ascii="Liberation Serif" w:eastAsia="N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paragraph" w:customStyle="1" w:styleId="Footnote">
    <w:name w:val="Footnote"/>
    <w:basedOn w:val="Standard"/>
    <w:pPr>
      <w:suppressLineNumbers/>
      <w:ind w:left="340" w:hanging="340"/>
    </w:pPr>
    <w:rPr>
      <w:sz w:val="20"/>
      <w:szCs w:val="20"/>
    </w:rPr>
  </w:style>
  <w:style w:type="character" w:customStyle="1" w:styleId="StrongEmphasis">
    <w:name w:val="Strong Emphasis"/>
    <w:rPr>
      <w:b/>
      <w:bCs/>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wtwco.com/en-ca/news/2025/06/political-polarisation-is-rising-globally-and-posing-new-challenges-for-businesses" TargetMode="External"/><Relationship Id="rId3" Type="http://schemas.openxmlformats.org/officeDocument/2006/relationships/hyperlink" Target="https://pmc.ncbi.nlm.nih.gov/articles/PMC8449384/#s4" TargetMode="External"/><Relationship Id="rId7" Type="http://schemas.openxmlformats.org/officeDocument/2006/relationships/hyperlink" Target="https://news.gallup.com/poll/695762/trust-media-new-low.aspx" TargetMode="External"/><Relationship Id="rId2" Type="http://schemas.openxmlformats.org/officeDocument/2006/relationships/hyperlink" Target="https://aclanthology.org/2025.acl-short.42.pdf" TargetMode="External"/><Relationship Id="rId1" Type="http://schemas.openxmlformats.org/officeDocument/2006/relationships/hyperlink" Target="https://www.nature.com/articles/s41562-024-01973-x" TargetMode="External"/><Relationship Id="rId6" Type="http://schemas.openxmlformats.org/officeDocument/2006/relationships/hyperlink" Target="https://reutersinstitute.politics.ox.ac.uk/digital-news-report/2025" TargetMode="External"/><Relationship Id="rId5" Type="http://schemas.openxmlformats.org/officeDocument/2006/relationships/hyperlink" Target="https://www.activefence.com/blog/community-notes-manipulation-threat-intel/" TargetMode="External"/><Relationship Id="rId10" Type="http://schemas.openxmlformats.org/officeDocument/2006/relationships/hyperlink" Target="https://www.hybridcoe.fi/wp-content/uploads/2024/05/20240530-Hybrid-CoE-Working-Paper-32-Russias-hybrid-threat-tactics-WEB.pdf" TargetMode="External"/><Relationship Id="rId4" Type="http://schemas.openxmlformats.org/officeDocument/2006/relationships/hyperlink" Target="https://academic.oup.com/pnasnexus/article/3/7/pgae217/7686087?login=false" TargetMode="External"/><Relationship Id="rId9" Type="http://schemas.openxmlformats.org/officeDocument/2006/relationships/hyperlink" Target="https://www.washingtonpost.com/outlook/2021/11/10/facebook-fact-checks-effective-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2008</Words>
  <Characters>11446</Characters>
  <Application>Microsoft Office Word</Application>
  <DocSecurity>4</DocSecurity>
  <Lines>95</Lines>
  <Paragraphs>26</Paragraphs>
  <ScaleCrop>false</ScaleCrop>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word</cp:lastModifiedBy>
  <cp:revision>2</cp:revision>
  <dcterms:created xsi:type="dcterms:W3CDTF">2025-12-10T14:34:00Z</dcterms:created>
  <dcterms:modified xsi:type="dcterms:W3CDTF">2025-12-10T14:34:00Z</dcterms:modified>
</cp:coreProperties>
</file>