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E474" w14:textId="202D20A6" w:rsidR="00146FF6" w:rsidRDefault="00146FF6" w:rsidP="00146FF6">
      <w:r>
        <w:t xml:space="preserve">This public comment responds to the following cases: </w:t>
      </w:r>
      <w:r w:rsidRPr="00146FF6">
        <w:rPr>
          <w:b/>
          <w:bCs/>
        </w:rPr>
        <w:t>Account Ban for Targeting Public Figures</w:t>
      </w:r>
      <w:r>
        <w:t xml:space="preserve"> (</w:t>
      </w:r>
      <w:r w:rsidRPr="00146FF6">
        <w:rPr>
          <w:b/>
          <w:bCs/>
        </w:rPr>
        <w:t>2026-006-IG-MR, 2026-007-IG-MR, 2026-08-IG-MR, 2026-009-IG-MR, 2026-0010-IG-MR</w:t>
      </w:r>
      <w:r>
        <w:rPr>
          <w:b/>
          <w:bCs/>
        </w:rPr>
        <w:t>)</w:t>
      </w:r>
      <w:r>
        <w:t xml:space="preserve">, announced by the Oversight Board on January 20, 2026. </w:t>
      </w:r>
    </w:p>
    <w:p w14:paraId="62D60E40" w14:textId="12F3D3F1" w:rsidR="00146FF6" w:rsidRDefault="00146FF6" w:rsidP="00146FF6">
      <w:r>
        <w:t>I am pleased to see that the Board has chosen to examine cases pertaining to account bans, which are at present one of the areas surrounded by the most opacity in Meta’s content moderation. While the</w:t>
      </w:r>
      <w:r w:rsidR="001D1392">
        <w:t>se</w:t>
      </w:r>
      <w:r>
        <w:t xml:space="preserve"> cases show specific intent by the user to target public figures and protected categories from the standpoint of a widely followed account, the reality is that Meta’s opacity when it comes to disabling accounts greatly affects innocent users whose livelihood, networks and connection depends on their social media profiles, with devastating effects</w:t>
      </w:r>
      <w:r w:rsidR="001D1392">
        <w:t xml:space="preserve">, while being soft on abusers. </w:t>
      </w:r>
    </w:p>
    <w:p w14:paraId="69BAACCB" w14:textId="710D7D3A" w:rsidR="00146FF6" w:rsidRDefault="00146FF6" w:rsidP="00146FF6">
      <w:pPr>
        <w:rPr>
          <w:b/>
          <w:bCs/>
        </w:rPr>
      </w:pPr>
      <w:r>
        <w:rPr>
          <w:b/>
          <w:bCs/>
        </w:rPr>
        <w:t>The emotional and financial impact of de-platforming</w:t>
      </w:r>
    </w:p>
    <w:p w14:paraId="7DA94C48" w14:textId="7D15FC01" w:rsidR="00146FF6" w:rsidRDefault="00146FF6" w:rsidP="00146FF6">
      <w:r>
        <w:t xml:space="preserve">In my research, I have found that Meta’s strikes system is loosely-applied, with many users lamenting the loss of their account with no warning or explanation. When de-platforming is triggered by mistake, this leaves the user with no clue as to why this happened, and crucially without any means to contest the decision apart from Meta’s </w:t>
      </w:r>
      <w:r w:rsidR="001D1392">
        <w:t>ineffective</w:t>
      </w:r>
      <w:r>
        <w:t xml:space="preserve"> appeals process.</w:t>
      </w:r>
    </w:p>
    <w:p w14:paraId="1762C7F7" w14:textId="4CD1FDD9" w:rsidR="00146FF6" w:rsidRDefault="00146FF6" w:rsidP="00146FF6">
      <w:r>
        <w:t>Users whose account was mistakenly disabled report tangible losses in earnings – in the thousands – as well as loss of work opportunities and of network. This sudden financial uncertainty and loss of a carefully curated digital identity, with its connected support network, left several of my participants feeling hopeless, powerless and depressed</w:t>
      </w:r>
      <w:r>
        <w:rPr>
          <w:rStyle w:val="Rimandonotaapidipagina"/>
        </w:rPr>
        <w:footnoteReference w:id="1"/>
      </w:r>
      <w:r>
        <w:t xml:space="preserve">. </w:t>
      </w:r>
    </w:p>
    <w:p w14:paraId="7EC8D4B2" w14:textId="77777777" w:rsidR="00AF2E40" w:rsidRDefault="00AF2E40" w:rsidP="00AF2E40">
      <w:pPr>
        <w:rPr>
          <w:b/>
          <w:bCs/>
        </w:rPr>
      </w:pPr>
      <w:r>
        <w:rPr>
          <w:b/>
          <w:bCs/>
        </w:rPr>
        <w:t>Content targeted</w:t>
      </w:r>
    </w:p>
    <w:p w14:paraId="7994BD14" w14:textId="6BCA3D83" w:rsidR="00AF2E40" w:rsidRDefault="00AF2E40" w:rsidP="00AF2E40">
      <w:r>
        <w:t>The damage cause by de-platforming intersects with the content it targets: often, sex work, reproductive health</w:t>
      </w:r>
      <w:r w:rsidR="001D1392">
        <w:t xml:space="preserve"> advocacy and education</w:t>
      </w:r>
      <w:r>
        <w:t>, activism and LGBTQIA+ posts and accounts</w:t>
      </w:r>
      <w:r>
        <w:rPr>
          <w:rStyle w:val="Rimandonotaapidipagina"/>
        </w:rPr>
        <w:footnoteReference w:id="2"/>
      </w:r>
      <w:r>
        <w:t xml:space="preserve">. </w:t>
      </w:r>
      <w:r w:rsidR="001D1392">
        <w:t>Profile owners</w:t>
      </w:r>
      <w:r>
        <w:t xml:space="preserve"> in the same category claim that, however, when </w:t>
      </w:r>
      <w:r>
        <w:rPr>
          <w:i/>
          <w:iCs/>
        </w:rPr>
        <w:t>they</w:t>
      </w:r>
      <w:r>
        <w:t xml:space="preserve"> report harm and abuse against them, these reports aren’t actioned by Meta</w:t>
      </w:r>
      <w:r>
        <w:rPr>
          <w:rStyle w:val="Rimandonotaapidipagina"/>
        </w:rPr>
        <w:footnoteReference w:id="3"/>
      </w:r>
      <w:r>
        <w:t xml:space="preserve">. There is therefore a legitmate concern about Meta’s account removal policy, particularly because the harshest measures which can sometimes be used to protect the vulnerable from harm </w:t>
      </w:r>
      <w:r>
        <w:lastRenderedPageBreak/>
        <w:t xml:space="preserve">are often used to censor content the company deems unsavoury for their PR and economic interests instead. </w:t>
      </w:r>
    </w:p>
    <w:p w14:paraId="6662FE76" w14:textId="66299AD9" w:rsidR="00AF2E40" w:rsidRPr="00146FF6" w:rsidRDefault="00AF2E40" w:rsidP="00146FF6">
      <w:r>
        <w:t>There has been an escalation of removal of this content in the recent months, an escalation that many have deemed politically</w:t>
      </w:r>
      <w:r w:rsidR="001D1392">
        <w:t>-</w:t>
      </w:r>
      <w:r>
        <w:t xml:space="preserve">motivated </w:t>
      </w:r>
      <w:r w:rsidR="001D1392">
        <w:t xml:space="preserve">following </w:t>
      </w:r>
      <w:r>
        <w:t>Meta’s alignment with the Trump administration’s anti-gender, anti-rights policies</w:t>
      </w:r>
      <w:r>
        <w:rPr>
          <w:rStyle w:val="Rimandonotaapidipagina"/>
        </w:rPr>
        <w:footnoteReference w:id="4"/>
      </w:r>
      <w:r>
        <w:t xml:space="preserve">. </w:t>
      </w:r>
    </w:p>
    <w:p w14:paraId="7340EE19" w14:textId="08F09AC9" w:rsidR="00146FF6" w:rsidRDefault="00146FF6" w:rsidP="00146FF6">
      <w:pPr>
        <w:rPr>
          <w:b/>
          <w:bCs/>
        </w:rPr>
      </w:pPr>
      <w:r>
        <w:rPr>
          <w:b/>
          <w:bCs/>
        </w:rPr>
        <w:t>Gaming the system</w:t>
      </w:r>
    </w:p>
    <w:p w14:paraId="6AB688F1" w14:textId="1D3850A7" w:rsidR="00146FF6" w:rsidRPr="003441FE" w:rsidRDefault="00146FF6" w:rsidP="00146FF6">
      <w:r>
        <w:t xml:space="preserve">Another challenge </w:t>
      </w:r>
      <w:r w:rsidR="001D1392">
        <w:t xml:space="preserve">raised by </w:t>
      </w:r>
      <w:r>
        <w:t xml:space="preserve">Meta’s inconsistent application of its strike system, and </w:t>
      </w:r>
      <w:r w:rsidR="001D1392">
        <w:t xml:space="preserve">by </w:t>
      </w:r>
      <w:r>
        <w:t>its tendency to discriminate against content featuring bodies, nudity and queerness</w:t>
      </w:r>
      <w:r w:rsidR="003441FE">
        <w:rPr>
          <w:rStyle w:val="Rimandonotaapidipagina"/>
        </w:rPr>
        <w:footnoteReference w:id="5"/>
      </w:r>
      <w:r>
        <w:t xml:space="preserve">, </w:t>
      </w:r>
      <w:r w:rsidR="001D1392">
        <w:t xml:space="preserve">is that its policies and enforcement </w:t>
      </w:r>
      <w:r w:rsidR="003441FE">
        <w:t xml:space="preserve">actually </w:t>
      </w:r>
      <w:r w:rsidR="003441FE">
        <w:rPr>
          <w:i/>
          <w:iCs/>
        </w:rPr>
        <w:t>encourages</w:t>
      </w:r>
      <w:r w:rsidR="001D1392">
        <w:t xml:space="preserve"> </w:t>
      </w:r>
      <w:r w:rsidR="003441FE">
        <w:t xml:space="preserve">abuse against private and public figures’ accounts, because malicious actors can attempt to game the system by traggering </w:t>
      </w:r>
      <w:r w:rsidR="001D1392">
        <w:t xml:space="preserve">their </w:t>
      </w:r>
      <w:r w:rsidR="003441FE">
        <w:t>de-platforming through mass flagging</w:t>
      </w:r>
      <w:r w:rsidR="003441FE">
        <w:rPr>
          <w:rStyle w:val="Rimandonotaapidipagina"/>
        </w:rPr>
        <w:footnoteReference w:id="6"/>
      </w:r>
      <w:r w:rsidR="003441FE">
        <w:t xml:space="preserve">. This becomes a </w:t>
      </w:r>
      <w:r w:rsidR="003441FE">
        <w:rPr>
          <w:i/>
          <w:iCs/>
        </w:rPr>
        <w:t>de facto</w:t>
      </w:r>
      <w:r w:rsidR="003441FE">
        <w:t xml:space="preserve"> silencing techniques for targets, and Meta’s lack of specific notifications of </w:t>
      </w:r>
      <w:r w:rsidR="001D1392">
        <w:t xml:space="preserve">reasons behind </w:t>
      </w:r>
      <w:r w:rsidR="003441FE">
        <w:t>removals, or of customer service support, mean</w:t>
      </w:r>
      <w:r w:rsidR="001D1392">
        <w:t>s</w:t>
      </w:r>
      <w:r w:rsidR="003441FE">
        <w:t xml:space="preserve"> that this type of abuse technique is under-researched and essentially encouraged by its current moderation. </w:t>
      </w:r>
    </w:p>
    <w:p w14:paraId="7B162B22" w14:textId="355D8BED" w:rsidR="00146FF6" w:rsidRDefault="00146FF6" w:rsidP="00146FF6">
      <w:pPr>
        <w:rPr>
          <w:b/>
          <w:bCs/>
        </w:rPr>
      </w:pPr>
      <w:r>
        <w:rPr>
          <w:b/>
          <w:bCs/>
        </w:rPr>
        <w:t>‘Dysfunctional’ appeals and scams</w:t>
      </w:r>
    </w:p>
    <w:p w14:paraId="6809FDC7" w14:textId="3CAAFB19" w:rsidR="003441FE" w:rsidRDefault="003441FE" w:rsidP="00146FF6">
      <w:r>
        <w:t>The effects and lack of transparency of mistaken de-platforming are then amplified by an appeals system that is not fit for a democratic society. My participants have described Meta’s appeals as ‘dysfunctional,</w:t>
      </w:r>
      <w:r>
        <w:rPr>
          <w:rStyle w:val="Rimandonotaapidipagina"/>
        </w:rPr>
        <w:footnoteReference w:id="7"/>
      </w:r>
      <w:r>
        <w:t xml:space="preserve">’ leaving them to appeal into a void. Often, participants reported that the ‘Appeal’ in-app or in-email button would not work, or </w:t>
      </w:r>
      <w:r w:rsidR="001D1392">
        <w:t xml:space="preserve">that it would </w:t>
      </w:r>
      <w:r>
        <w:t xml:space="preserve">send them to a blank page. Other times, they were referred to a page whereby they had to prove their identity by sharing their ID, only to be told this wasn’t valid. Transgender and sex working users were particularly affected by this, given that the gender and/or name appearing on their IDs did not match the presentation or identity they chose for their Meta accounts. </w:t>
      </w:r>
      <w:r w:rsidR="001D1392">
        <w:t xml:space="preserve">Meta’s appeals process is therefore also discriminatory. </w:t>
      </w:r>
    </w:p>
    <w:p w14:paraId="1D78FF22" w14:textId="0E9AA87E" w:rsidR="003441FE" w:rsidRDefault="003441FE" w:rsidP="00146FF6">
      <w:r>
        <w:lastRenderedPageBreak/>
        <w:t>Additionally, participants reported never hearing back after appealing through Meta’s in-platform redress, causing them to give up on their accounts which they had spent years curating, and which w</w:t>
      </w:r>
      <w:r w:rsidR="001D1392">
        <w:t>ere</w:t>
      </w:r>
      <w:r>
        <w:t xml:space="preserve"> crucial towards their earnings. Participants who recovered their account claimed to only have managed to do so by getting in touch with journalists who would write about them, or with connections who had contacts at Meta. Those who did not have such connections would resort to paying for hackers, who quoted them fees in the $2000 ballpark, </w:t>
      </w:r>
      <w:r w:rsidR="001D1392">
        <w:t xml:space="preserve">and who </w:t>
      </w:r>
      <w:r>
        <w:t>claim</w:t>
      </w:r>
      <w:r w:rsidR="001D1392">
        <w:t>ed</w:t>
      </w:r>
      <w:r>
        <w:t xml:space="preserve"> to work </w:t>
      </w:r>
      <w:r>
        <w:rPr>
          <w:i/>
          <w:iCs/>
        </w:rPr>
        <w:t>inside</w:t>
      </w:r>
      <w:r>
        <w:t xml:space="preserve"> Meta and to be able to help. Of course, participants would have no proof of this, meaning they were opening themselves up to scams. </w:t>
      </w:r>
    </w:p>
    <w:p w14:paraId="5E69F563" w14:textId="5865C7B1" w:rsidR="003441FE" w:rsidRPr="003441FE" w:rsidRDefault="003441FE" w:rsidP="00146FF6">
      <w:r>
        <w:t>Meta’s appeals system is ineffective and opaque at best, negligent at wors</w:t>
      </w:r>
      <w:r w:rsidR="001D1392">
        <w:t>t:</w:t>
      </w:r>
      <w:r w:rsidR="00AF2E40">
        <w:t xml:space="preserve"> it leaves users </w:t>
      </w:r>
      <w:r w:rsidR="001D1392">
        <w:t xml:space="preserve">feeling </w:t>
      </w:r>
      <w:r w:rsidR="00AF2E40">
        <w:t>desperate</w:t>
      </w:r>
      <w:r w:rsidR="001D1392">
        <w:t xml:space="preserve"> and powerless,</w:t>
      </w:r>
      <w:r w:rsidR="00AF2E40">
        <w:t xml:space="preserve"> creat</w:t>
      </w:r>
      <w:r w:rsidR="001D1392">
        <w:t>ing</w:t>
      </w:r>
      <w:r w:rsidR="00AF2E40">
        <w:t xml:space="preserve"> a black market for account recovery. </w:t>
      </w:r>
    </w:p>
    <w:p w14:paraId="4238539B" w14:textId="57E44890" w:rsidR="00146FF6" w:rsidRDefault="00146FF6" w:rsidP="00146FF6">
      <w:pPr>
        <w:rPr>
          <w:b/>
          <w:bCs/>
        </w:rPr>
      </w:pPr>
      <w:r>
        <w:rPr>
          <w:b/>
          <w:bCs/>
        </w:rPr>
        <w:t xml:space="preserve">Ineffective transparency reporting </w:t>
      </w:r>
      <w:r w:rsidR="00AF2E40">
        <w:rPr>
          <w:b/>
          <w:bCs/>
        </w:rPr>
        <w:t>and system overhauls</w:t>
      </w:r>
    </w:p>
    <w:p w14:paraId="21ECAC77" w14:textId="53AAABE3" w:rsidR="00AF2E40" w:rsidRDefault="00AF2E40" w:rsidP="00146FF6">
      <w:r>
        <w:t>For all the above reasons, Meta needs to step its transparency reporting. It is not enough to just share how many accounts and content were removed for which violation, and how many were restored. Context about the removals need to be provided for meaningful investigations into the feedback loops, glitches and mistakes originating from Meta’s appeals and moderation.</w:t>
      </w:r>
    </w:p>
    <w:p w14:paraId="26C0C0D4" w14:textId="29CD6567" w:rsidR="00146FF6" w:rsidRDefault="00AF2E40" w:rsidP="00146FF6">
      <w:r>
        <w:t xml:space="preserve">A proper appeals system needs </w:t>
      </w:r>
      <w:r w:rsidR="001D1392">
        <w:t>to keep</w:t>
      </w:r>
      <w:r>
        <w:t xml:space="preserve"> the user in mind, so that those who have had their account and content wrongly removed do not have to jump through hoops of ineffective, dehumanising technology, recur to friends in high places</w:t>
      </w:r>
      <w:r w:rsidR="007B0925">
        <w:rPr>
          <w:rStyle w:val="Rimandonotaapidipagina"/>
        </w:rPr>
        <w:footnoteReference w:id="8"/>
      </w:r>
      <w:r>
        <w:t xml:space="preserve"> </w:t>
      </w:r>
      <w:r>
        <w:rPr>
          <w:i/>
          <w:iCs/>
        </w:rPr>
        <w:t xml:space="preserve">or </w:t>
      </w:r>
      <w:r>
        <w:t xml:space="preserve">pay thousands to a hacker to recover their accounts. In relation to this, a serious investigation into these ‘insider’ hackers needs to be carried out, to see how Meta’s processes facilitate these </w:t>
      </w:r>
      <w:r w:rsidR="001D1392">
        <w:t xml:space="preserve">band-aid </w:t>
      </w:r>
      <w:r>
        <w:t xml:space="preserve">solutions and </w:t>
      </w:r>
      <w:r w:rsidR="007B0925">
        <w:t>to find who exploits users’ desperation on the inside.</w:t>
      </w:r>
    </w:p>
    <w:p w14:paraId="464DBDDC" w14:textId="3CE95AEA" w:rsidR="00146FF6" w:rsidRDefault="007B0925" w:rsidP="00146FF6">
      <w:r>
        <w:t>Lastly, the bare minimum in terms of transparency and fairness would be to provide users with an off-platform record of their violations</w:t>
      </w:r>
      <w:r>
        <w:rPr>
          <w:rStyle w:val="Rimandonotaapidipagina"/>
        </w:rPr>
        <w:footnoteReference w:id="9"/>
      </w:r>
      <w:r>
        <w:t xml:space="preserve">, so that they could use case numbers, evidence and pictures to contact customer service in cases of mistaken removals. Since these are often repeated, targeting the same accounts multiple times for content that was already successfully appealed, this would greatly benefit the users affected. </w:t>
      </w:r>
    </w:p>
    <w:p w14:paraId="62225F9D" w14:textId="77777777" w:rsidR="00146FF6" w:rsidRDefault="00146FF6" w:rsidP="00146FF6"/>
    <w:p w14:paraId="62A6DBB2" w14:textId="77777777" w:rsidR="00C60B98" w:rsidRDefault="00C60B98"/>
    <w:sectPr w:rsidR="00C60B98">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89F6" w14:textId="77777777" w:rsidR="00897BD0" w:rsidRDefault="00897BD0" w:rsidP="00146FF6">
      <w:pPr>
        <w:spacing w:after="0" w:line="240" w:lineRule="auto"/>
      </w:pPr>
      <w:r>
        <w:separator/>
      </w:r>
    </w:p>
  </w:endnote>
  <w:endnote w:type="continuationSeparator" w:id="0">
    <w:p w14:paraId="579B45F6" w14:textId="77777777" w:rsidR="00897BD0" w:rsidRDefault="00897BD0" w:rsidP="0014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02857120"/>
      <w:docPartObj>
        <w:docPartGallery w:val="Page Numbers (Bottom of Page)"/>
        <w:docPartUnique/>
      </w:docPartObj>
    </w:sdtPr>
    <w:sdtContent>
      <w:p w14:paraId="74D9942D" w14:textId="2C814E0F" w:rsidR="002A6937" w:rsidRDefault="002A6937" w:rsidP="00045D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65A48D9C" w14:textId="77777777" w:rsidR="002A6937" w:rsidRDefault="002A6937" w:rsidP="002A693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1485547"/>
      <w:docPartObj>
        <w:docPartGallery w:val="Page Numbers (Bottom of Page)"/>
        <w:docPartUnique/>
      </w:docPartObj>
    </w:sdtPr>
    <w:sdtContent>
      <w:p w14:paraId="45598721" w14:textId="6F1816B2" w:rsidR="002A6937" w:rsidRDefault="002A6937" w:rsidP="00045D4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67C3065" w14:textId="77777777" w:rsidR="002A6937" w:rsidRDefault="002A6937" w:rsidP="002A693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408E" w14:textId="77777777" w:rsidR="00897BD0" w:rsidRDefault="00897BD0" w:rsidP="00146FF6">
      <w:pPr>
        <w:spacing w:after="0" w:line="240" w:lineRule="auto"/>
      </w:pPr>
      <w:r>
        <w:separator/>
      </w:r>
    </w:p>
  </w:footnote>
  <w:footnote w:type="continuationSeparator" w:id="0">
    <w:p w14:paraId="6C17B938" w14:textId="77777777" w:rsidR="00897BD0" w:rsidRDefault="00897BD0" w:rsidP="00146FF6">
      <w:pPr>
        <w:spacing w:after="0" w:line="240" w:lineRule="auto"/>
      </w:pPr>
      <w:r>
        <w:continuationSeparator/>
      </w:r>
    </w:p>
  </w:footnote>
  <w:footnote w:id="1">
    <w:p w14:paraId="2F04505D" w14:textId="15B18E58" w:rsidR="00146FF6" w:rsidRPr="00146FF6" w:rsidRDefault="00146FF6">
      <w:pPr>
        <w:pStyle w:val="Testonotaapidipagina"/>
        <w:rPr>
          <w:lang w:val="en-GB"/>
        </w:rPr>
      </w:pPr>
      <w:r>
        <w:rPr>
          <w:rStyle w:val="Rimandonotaapidipagina"/>
        </w:rPr>
        <w:footnoteRef/>
      </w:r>
      <w:r>
        <w:t xml:space="preserve"> </w:t>
      </w:r>
      <w:r w:rsidRPr="00146FF6">
        <w:t>Are, C., &amp; Briggs, P. (2023). The Emotional and Financial Impact of De-Platforming on Creators at the Margins. </w:t>
      </w:r>
      <w:r w:rsidRPr="00146FF6">
        <w:rPr>
          <w:i/>
          <w:iCs/>
        </w:rPr>
        <w:t>Social Media + Society</w:t>
      </w:r>
      <w:r w:rsidRPr="00146FF6">
        <w:t>, </w:t>
      </w:r>
      <w:r w:rsidRPr="00146FF6">
        <w:rPr>
          <w:i/>
          <w:iCs/>
        </w:rPr>
        <w:t>9</w:t>
      </w:r>
      <w:r w:rsidRPr="00146FF6">
        <w:t>(1). </w:t>
      </w:r>
      <w:hyperlink r:id="rId1" w:history="1">
        <w:r w:rsidRPr="00146FF6">
          <w:rPr>
            <w:rStyle w:val="Collegamentoipertestuale"/>
          </w:rPr>
          <w:t>https://doi.org/10.1177/20563051231155103</w:t>
        </w:r>
      </w:hyperlink>
      <w:r w:rsidRPr="00146FF6">
        <w:t> (Original work published 2023)</w:t>
      </w:r>
      <w:r w:rsidR="003441FE">
        <w:t>.</w:t>
      </w:r>
      <w:r w:rsidR="003441FE">
        <w:br/>
      </w:r>
    </w:p>
  </w:footnote>
  <w:footnote w:id="2">
    <w:p w14:paraId="149EBD6F" w14:textId="77777777" w:rsidR="00AF2E40" w:rsidRPr="00AF2E40" w:rsidRDefault="00AF2E40" w:rsidP="00AF2E40">
      <w:pPr>
        <w:pStyle w:val="Testonotaapidipagina"/>
      </w:pPr>
      <w:r>
        <w:rPr>
          <w:rStyle w:val="Rimandonotaapidipagina"/>
        </w:rPr>
        <w:footnoteRef/>
      </w:r>
      <w:r>
        <w:t xml:space="preserve"> </w:t>
      </w:r>
      <w:r w:rsidRPr="00AF2E40">
        <w:t>Haimson, O., Delmonaco, D., Nie, P., &amp; Wegner, A. (2021). Disproportionate removals and differing content moderation experiences for conservative, transgender, and black social media users: Marginalization and moderation gray areas. </w:t>
      </w:r>
      <w:r w:rsidRPr="00AF2E40">
        <w:rPr>
          <w:i/>
          <w:iCs/>
        </w:rPr>
        <w:t>Proceedings of the ACM on Human-Computer Interaction</w:t>
      </w:r>
      <w:r w:rsidRPr="00AF2E40">
        <w:t>, </w:t>
      </w:r>
      <w:r w:rsidRPr="00AF2E40">
        <w:rPr>
          <w:i/>
          <w:iCs/>
        </w:rPr>
        <w:t>5</w:t>
      </w:r>
      <w:r w:rsidRPr="00AF2E40">
        <w:t xml:space="preserve">(466), 1–35. </w:t>
      </w:r>
      <w:hyperlink r:id="rId2" w:history="1">
        <w:r w:rsidRPr="00045D43">
          <w:rPr>
            <w:rStyle w:val="Collegamentoipertestuale"/>
          </w:rPr>
          <w:t>https://doi.org/10.1145/3479610</w:t>
        </w:r>
      </w:hyperlink>
      <w:r>
        <w:t xml:space="preserve">. </w:t>
      </w:r>
    </w:p>
    <w:p w14:paraId="28D610DC" w14:textId="77777777" w:rsidR="00AF2E40" w:rsidRPr="00AF2E40" w:rsidRDefault="00AF2E40" w:rsidP="00AF2E40">
      <w:pPr>
        <w:pStyle w:val="Testonotaapidipagina"/>
      </w:pPr>
    </w:p>
  </w:footnote>
  <w:footnote w:id="3">
    <w:p w14:paraId="375190FA" w14:textId="77777777" w:rsidR="00AF2E40" w:rsidRPr="00AF2E40" w:rsidRDefault="00AF2E40" w:rsidP="00AF2E40">
      <w:pPr>
        <w:pStyle w:val="Testonotaapidipagina"/>
        <w:rPr>
          <w:lang w:val="en-GB"/>
        </w:rPr>
      </w:pPr>
      <w:r>
        <w:rPr>
          <w:rStyle w:val="Rimandonotaapidipagina"/>
        </w:rPr>
        <w:footnoteRef/>
      </w:r>
      <w:r>
        <w:t xml:space="preserve"> </w:t>
      </w:r>
      <w:r w:rsidRPr="00AF2E40">
        <w:t>Are, C. (2024</w:t>
      </w:r>
      <w:r>
        <w:t>a</w:t>
      </w:r>
      <w:r w:rsidRPr="00AF2E40">
        <w:t>). The assemblages of flagging and de-platforming against marginalised content creators. </w:t>
      </w:r>
      <w:r w:rsidRPr="00AF2E40">
        <w:rPr>
          <w:i/>
          <w:iCs/>
        </w:rPr>
        <w:t>Convergence</w:t>
      </w:r>
      <w:r w:rsidRPr="00AF2E40">
        <w:t>, </w:t>
      </w:r>
      <w:r w:rsidRPr="00AF2E40">
        <w:rPr>
          <w:i/>
          <w:iCs/>
        </w:rPr>
        <w:t>30</w:t>
      </w:r>
      <w:r w:rsidRPr="00AF2E40">
        <w:t xml:space="preserve">(2), 922–937. </w:t>
      </w:r>
      <w:hyperlink r:id="rId3" w:history="1">
        <w:r w:rsidRPr="00045D43">
          <w:rPr>
            <w:rStyle w:val="Collegamentoipertestuale"/>
          </w:rPr>
          <w:t>https://doi.org/10.1177/13548565231218629</w:t>
        </w:r>
      </w:hyperlink>
      <w:r w:rsidRPr="00AF2E40">
        <w:t>.</w:t>
      </w:r>
      <w:r>
        <w:t xml:space="preserve"> </w:t>
      </w:r>
    </w:p>
  </w:footnote>
  <w:footnote w:id="4">
    <w:p w14:paraId="4F33A47B" w14:textId="77777777" w:rsidR="00AF2E40" w:rsidRDefault="00AF2E40" w:rsidP="00AF2E40">
      <w:pPr>
        <w:pStyle w:val="Testonotaapidipagina"/>
      </w:pPr>
      <w:r>
        <w:rPr>
          <w:rStyle w:val="Rimandonotaapidipagina"/>
        </w:rPr>
        <w:footnoteRef/>
      </w:r>
      <w:r>
        <w:t xml:space="preserve"> </w:t>
      </w:r>
      <w:r>
        <w:rPr>
          <w:lang w:val="en-GB"/>
        </w:rPr>
        <w:t xml:space="preserve">Down, A. (2025). </w:t>
      </w:r>
      <w:r w:rsidRPr="00AF2E40">
        <w:t>Meta shuts down global accounts linked to abortion advice and queer content</w:t>
      </w:r>
      <w:r>
        <w:t xml:space="preserve">. </w:t>
      </w:r>
      <w:r>
        <w:rPr>
          <w:i/>
          <w:iCs/>
        </w:rPr>
        <w:t>The Guardian</w:t>
      </w:r>
      <w:r>
        <w:t xml:space="preserve">. </w:t>
      </w:r>
      <w:hyperlink r:id="rId4" w:history="1">
        <w:r w:rsidRPr="00045D43">
          <w:rPr>
            <w:rStyle w:val="Collegamentoipertestuale"/>
          </w:rPr>
          <w:t>https://www.theguardian.com/global-development/2025/dec/11/meta-shuts-down-global-accounts-linked-to-abortion-advice-and-queer-content/</w:t>
        </w:r>
      </w:hyperlink>
      <w:r>
        <w:t xml:space="preserve">.  </w:t>
      </w:r>
    </w:p>
    <w:p w14:paraId="3732613E" w14:textId="77777777" w:rsidR="00AF2E40" w:rsidRPr="00AF2E40" w:rsidRDefault="00AF2E40" w:rsidP="00AF2E40">
      <w:pPr>
        <w:pStyle w:val="Testonotaapidipagina"/>
      </w:pPr>
    </w:p>
  </w:footnote>
  <w:footnote w:id="5">
    <w:p w14:paraId="5C667D7B" w14:textId="6393BA2E" w:rsidR="003441FE" w:rsidRDefault="003441FE">
      <w:pPr>
        <w:pStyle w:val="Testonotaapidipagina"/>
        <w:rPr>
          <w:lang w:val="en-GB"/>
        </w:rPr>
      </w:pPr>
      <w:r>
        <w:rPr>
          <w:rStyle w:val="Rimandonotaapidipagina"/>
        </w:rPr>
        <w:footnoteRef/>
      </w:r>
      <w:r>
        <w:t xml:space="preserve"> </w:t>
      </w:r>
      <w:r>
        <w:rPr>
          <w:lang w:val="en-GB"/>
        </w:rPr>
        <w:t xml:space="preserve">Oversight Board (2023). Gender Identity and Nudity. </w:t>
      </w:r>
      <w:r>
        <w:rPr>
          <w:i/>
          <w:iCs/>
          <w:lang w:val="en-GB"/>
        </w:rPr>
        <w:t>Multiple Case Decisions</w:t>
      </w:r>
      <w:r>
        <w:rPr>
          <w:lang w:val="en-GB"/>
        </w:rPr>
        <w:t xml:space="preserve">.  </w:t>
      </w:r>
      <w:r>
        <w:rPr>
          <w:lang w:val="en-GB"/>
        </w:rPr>
        <w:fldChar w:fldCharType="begin"/>
      </w:r>
      <w:r>
        <w:rPr>
          <w:lang w:val="en-GB"/>
        </w:rPr>
        <w:instrText>HYPERLINK "</w:instrText>
      </w:r>
      <w:r w:rsidRPr="003441FE">
        <w:rPr>
          <w:lang w:val="en-GB"/>
        </w:rPr>
        <w:instrText>https://www.oversightboard.com/decision/bun-ih313zhj/</w:instrText>
      </w:r>
      <w:r>
        <w:rPr>
          <w:lang w:val="en-GB"/>
        </w:rPr>
        <w:instrText>"</w:instrText>
      </w:r>
      <w:r>
        <w:rPr>
          <w:lang w:val="en-GB"/>
        </w:rPr>
        <w:fldChar w:fldCharType="separate"/>
      </w:r>
      <w:r w:rsidRPr="00045D43">
        <w:rPr>
          <w:rStyle w:val="Collegamentoipertestuale"/>
          <w:lang w:val="en-GB"/>
        </w:rPr>
        <w:t>https://www.oversightboard.com/decision/bun-ih313zhj/</w:t>
      </w:r>
      <w:r>
        <w:rPr>
          <w:lang w:val="en-GB"/>
        </w:rPr>
        <w:fldChar w:fldCharType="end"/>
      </w:r>
      <w:r>
        <w:rPr>
          <w:lang w:val="en-GB"/>
        </w:rPr>
        <w:t xml:space="preserve"> .</w:t>
      </w:r>
    </w:p>
    <w:p w14:paraId="71C49F13" w14:textId="77777777" w:rsidR="003441FE" w:rsidRPr="003441FE" w:rsidRDefault="003441FE">
      <w:pPr>
        <w:pStyle w:val="Testonotaapidipagina"/>
        <w:rPr>
          <w:lang w:val="en-GB"/>
        </w:rPr>
      </w:pPr>
    </w:p>
  </w:footnote>
  <w:footnote w:id="6">
    <w:p w14:paraId="133D2CB5" w14:textId="1F177FEF" w:rsidR="003441FE" w:rsidRDefault="003441FE">
      <w:pPr>
        <w:pStyle w:val="Testonotaapidipagina"/>
      </w:pPr>
      <w:r>
        <w:rPr>
          <w:rStyle w:val="Rimandonotaapidipagina"/>
        </w:rPr>
        <w:footnoteRef/>
      </w:r>
      <w:r>
        <w:t xml:space="preserve"> </w:t>
      </w:r>
      <w:r w:rsidRPr="003441FE">
        <w:t>Are, C. (2024). Flagging as a silencing tool: Exploring the relationship between de-platforming of sex and online abuse on Instagram and TikTok. </w:t>
      </w:r>
      <w:r w:rsidRPr="003441FE">
        <w:rPr>
          <w:i/>
          <w:iCs/>
        </w:rPr>
        <w:t>New Media &amp; Society</w:t>
      </w:r>
      <w:r w:rsidRPr="003441FE">
        <w:t>, </w:t>
      </w:r>
      <w:r w:rsidRPr="003441FE">
        <w:rPr>
          <w:i/>
          <w:iCs/>
        </w:rPr>
        <w:t>27</w:t>
      </w:r>
      <w:r w:rsidRPr="003441FE">
        <w:t>(6), 3577-3595. </w:t>
      </w:r>
      <w:hyperlink r:id="rId5" w:history="1">
        <w:r w:rsidRPr="003441FE">
          <w:rPr>
            <w:rStyle w:val="Collegamentoipertestuale"/>
          </w:rPr>
          <w:t>https://doi.org/10.1177/14614448241228544</w:t>
        </w:r>
      </w:hyperlink>
      <w:r w:rsidRPr="003441FE">
        <w:t>(Original work published 2025)</w:t>
      </w:r>
      <w:r>
        <w:t>.</w:t>
      </w:r>
    </w:p>
    <w:p w14:paraId="226121B1" w14:textId="77777777" w:rsidR="00AF2E40" w:rsidRPr="003441FE" w:rsidRDefault="00AF2E40">
      <w:pPr>
        <w:pStyle w:val="Testonotaapidipagina"/>
        <w:rPr>
          <w:lang w:val="en-GB"/>
        </w:rPr>
      </w:pPr>
    </w:p>
  </w:footnote>
  <w:footnote w:id="7">
    <w:p w14:paraId="261831E1" w14:textId="5EE18CA4" w:rsidR="003441FE" w:rsidRPr="003441FE" w:rsidRDefault="003441FE">
      <w:pPr>
        <w:pStyle w:val="Testonotaapidipagina"/>
        <w:rPr>
          <w:lang w:val="en-GB"/>
        </w:rPr>
      </w:pPr>
      <w:r>
        <w:rPr>
          <w:rStyle w:val="Rimandonotaapidipagina"/>
        </w:rPr>
        <w:footnoteRef/>
      </w:r>
      <w:r>
        <w:t xml:space="preserve"> </w:t>
      </w:r>
      <w:r w:rsidRPr="003441FE">
        <w:t>Are, C. (2025). ‘Dysfunctional’ appeals and failures of algorithmic justice in Instagram and TikTok content moderation. </w:t>
      </w:r>
      <w:r w:rsidRPr="003441FE">
        <w:rPr>
          <w:i/>
          <w:iCs/>
        </w:rPr>
        <w:t>Information, Communication &amp; Society</w:t>
      </w:r>
      <w:r w:rsidRPr="003441FE">
        <w:t>, </w:t>
      </w:r>
      <w:r w:rsidRPr="003441FE">
        <w:rPr>
          <w:i/>
          <w:iCs/>
        </w:rPr>
        <w:t>28</w:t>
      </w:r>
      <w:r w:rsidRPr="003441FE">
        <w:t xml:space="preserve">(11), 1997–2014. </w:t>
      </w:r>
      <w:hyperlink r:id="rId6" w:history="1">
        <w:r w:rsidRPr="00045D43">
          <w:rPr>
            <w:rStyle w:val="Collegamentoipertestuale"/>
          </w:rPr>
          <w:t>https://doi.org/10.1080/1369118X.2024.2396621</w:t>
        </w:r>
      </w:hyperlink>
      <w:r>
        <w:t xml:space="preserve">. </w:t>
      </w:r>
      <w:r w:rsidR="00AF2E40">
        <w:br/>
      </w:r>
    </w:p>
  </w:footnote>
  <w:footnote w:id="8">
    <w:p w14:paraId="4111F34E" w14:textId="4C5D3A8B" w:rsidR="007B0925" w:rsidRDefault="007B0925">
      <w:pPr>
        <w:pStyle w:val="Testonotaapidipagina"/>
      </w:pPr>
      <w:r>
        <w:rPr>
          <w:rStyle w:val="Rimandonotaapidipagina"/>
        </w:rPr>
        <w:footnoteRef/>
      </w:r>
      <w:r>
        <w:t xml:space="preserve"> </w:t>
      </w:r>
      <w:r>
        <w:t xml:space="preserve">Smith, S. (2023). </w:t>
      </w:r>
      <w:r w:rsidRPr="007B0925">
        <w:t>Instagram keeps banning sex-positive and kink accounts</w:t>
      </w:r>
      <w:r w:rsidRPr="007B0925">
        <w:t>.</w:t>
      </w:r>
      <w:r>
        <w:rPr>
          <w:b/>
          <w:bCs/>
        </w:rPr>
        <w:t xml:space="preserve"> </w:t>
      </w:r>
      <w:r>
        <w:rPr>
          <w:i/>
          <w:iCs/>
        </w:rPr>
        <w:t>Dazed</w:t>
      </w:r>
      <w:r>
        <w:t>.</w:t>
      </w:r>
      <w:r w:rsidRPr="007B0925">
        <w:t xml:space="preserve"> </w:t>
      </w:r>
      <w:hyperlink r:id="rId7" w:history="1">
        <w:r w:rsidRPr="00045D43">
          <w:rPr>
            <w:rStyle w:val="Collegamentoipertestuale"/>
          </w:rPr>
          <w:t>https://www.dazeddigital.com/life-culture/article/60228/1/instagram-keeps-banning-sex-positive-and-kink-accounts-censorship-creators</w:t>
        </w:r>
      </w:hyperlink>
      <w:r>
        <w:t xml:space="preserve">. </w:t>
      </w:r>
    </w:p>
    <w:p w14:paraId="3A109F15" w14:textId="77777777" w:rsidR="007B0925" w:rsidRPr="007B0925" w:rsidRDefault="007B0925">
      <w:pPr>
        <w:pStyle w:val="Testonotaapidipagina"/>
      </w:pPr>
    </w:p>
  </w:footnote>
  <w:footnote w:id="9">
    <w:p w14:paraId="74CF869D" w14:textId="544D84B8" w:rsidR="007B0925" w:rsidRPr="007B0925" w:rsidRDefault="007B0925">
      <w:pPr>
        <w:pStyle w:val="Testonotaapidipagina"/>
        <w:rPr>
          <w:lang w:val="en-GB"/>
        </w:rPr>
      </w:pPr>
      <w:r>
        <w:rPr>
          <w:rStyle w:val="Rimandonotaapidipagina"/>
        </w:rPr>
        <w:footnoteRef/>
      </w:r>
      <w:r>
        <w:t xml:space="preserve"> </w:t>
      </w:r>
      <w:r>
        <w:t xml:space="preserve">Are, C.; Collingham, H.; Carrothers, A.M. and Fox, E. (2023). </w:t>
      </w:r>
      <w:r w:rsidRPr="007B0925">
        <w:t>Co-designing Platform Governance Policies: Tackling malicious flagging and de-platforming with impacted social media users</w:t>
      </w:r>
      <w:r>
        <w:t xml:space="preserve">. </w:t>
      </w:r>
      <w:r>
        <w:rPr>
          <w:i/>
          <w:iCs/>
        </w:rPr>
        <w:t>Centre for Digital Citizens</w:t>
      </w:r>
      <w:r>
        <w:t xml:space="preserve">. </w:t>
      </w:r>
      <w:r>
        <w:fldChar w:fldCharType="begin"/>
      </w:r>
      <w:r>
        <w:instrText>HYPERLINK "</w:instrText>
      </w:r>
      <w:r w:rsidRPr="007B0925">
        <w:instrText>https://digitalcitizens.uk/blog/platform_governance_inequalities/</w:instrText>
      </w:r>
      <w:r>
        <w:instrText>"</w:instrText>
      </w:r>
      <w:r>
        <w:fldChar w:fldCharType="separate"/>
      </w:r>
      <w:r w:rsidRPr="00045D43">
        <w:rPr>
          <w:rStyle w:val="Collegamentoipertestuale"/>
        </w:rPr>
        <w:t>https://digitalcitizens.uk/blog/platform_governance_inequalities/</w:t>
      </w:r>
      <w:r>
        <w:fldChar w:fldCharType="end"/>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052"/>
    <w:multiLevelType w:val="multilevel"/>
    <w:tmpl w:val="895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1734B"/>
    <w:multiLevelType w:val="multilevel"/>
    <w:tmpl w:val="91A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465361">
    <w:abstractNumId w:val="0"/>
  </w:num>
  <w:num w:numId="2" w16cid:durableId="75995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98"/>
    <w:rsid w:val="00146FF6"/>
    <w:rsid w:val="001D1392"/>
    <w:rsid w:val="002A6937"/>
    <w:rsid w:val="003441FE"/>
    <w:rsid w:val="004F7944"/>
    <w:rsid w:val="007B0925"/>
    <w:rsid w:val="00897BD0"/>
    <w:rsid w:val="00AF2E40"/>
    <w:rsid w:val="00C60B98"/>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decimalSymbol w:val="."/>
  <w:listSeparator w:val=";"/>
  <w14:docId w14:val="55958FA3"/>
  <w15:chartTrackingRefBased/>
  <w15:docId w15:val="{086BD39B-5B9C-F64F-80A3-CA59ACCB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60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0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0B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0B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0B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0B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0B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0B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0B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0B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0B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0B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0B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0B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0B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0B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0B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0B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0B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0B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0B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0B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0B98"/>
    <w:rPr>
      <w:i/>
      <w:iCs/>
      <w:color w:val="404040" w:themeColor="text1" w:themeTint="BF"/>
    </w:rPr>
  </w:style>
  <w:style w:type="paragraph" w:styleId="Paragrafoelenco">
    <w:name w:val="List Paragraph"/>
    <w:basedOn w:val="Normale"/>
    <w:uiPriority w:val="34"/>
    <w:qFormat/>
    <w:rsid w:val="00C60B98"/>
    <w:pPr>
      <w:ind w:left="720"/>
      <w:contextualSpacing/>
    </w:pPr>
  </w:style>
  <w:style w:type="character" w:styleId="Enfasiintensa">
    <w:name w:val="Intense Emphasis"/>
    <w:basedOn w:val="Carpredefinitoparagrafo"/>
    <w:uiPriority w:val="21"/>
    <w:qFormat/>
    <w:rsid w:val="00C60B98"/>
    <w:rPr>
      <w:i/>
      <w:iCs/>
      <w:color w:val="0F4761" w:themeColor="accent1" w:themeShade="BF"/>
    </w:rPr>
  </w:style>
  <w:style w:type="paragraph" w:styleId="Citazioneintensa">
    <w:name w:val="Intense Quote"/>
    <w:basedOn w:val="Normale"/>
    <w:next w:val="Normale"/>
    <w:link w:val="CitazioneintensaCarattere"/>
    <w:uiPriority w:val="30"/>
    <w:qFormat/>
    <w:rsid w:val="00C60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0B98"/>
    <w:rPr>
      <w:i/>
      <w:iCs/>
      <w:color w:val="0F4761" w:themeColor="accent1" w:themeShade="BF"/>
    </w:rPr>
  </w:style>
  <w:style w:type="character" w:styleId="Riferimentointenso">
    <w:name w:val="Intense Reference"/>
    <w:basedOn w:val="Carpredefinitoparagrafo"/>
    <w:uiPriority w:val="32"/>
    <w:qFormat/>
    <w:rsid w:val="00C60B98"/>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146FF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46FF6"/>
    <w:rPr>
      <w:sz w:val="20"/>
      <w:szCs w:val="20"/>
    </w:rPr>
  </w:style>
  <w:style w:type="character" w:styleId="Rimandonotaapidipagina">
    <w:name w:val="footnote reference"/>
    <w:basedOn w:val="Carpredefinitoparagrafo"/>
    <w:uiPriority w:val="99"/>
    <w:semiHidden/>
    <w:unhideWhenUsed/>
    <w:rsid w:val="00146FF6"/>
    <w:rPr>
      <w:vertAlign w:val="superscript"/>
    </w:rPr>
  </w:style>
  <w:style w:type="character" w:styleId="Collegamentoipertestuale">
    <w:name w:val="Hyperlink"/>
    <w:basedOn w:val="Carpredefinitoparagrafo"/>
    <w:uiPriority w:val="99"/>
    <w:unhideWhenUsed/>
    <w:rsid w:val="00146FF6"/>
    <w:rPr>
      <w:color w:val="467886" w:themeColor="hyperlink"/>
      <w:u w:val="single"/>
    </w:rPr>
  </w:style>
  <w:style w:type="character" w:styleId="Menzionenonrisolta">
    <w:name w:val="Unresolved Mention"/>
    <w:basedOn w:val="Carpredefinitoparagrafo"/>
    <w:uiPriority w:val="99"/>
    <w:semiHidden/>
    <w:unhideWhenUsed/>
    <w:rsid w:val="00146FF6"/>
    <w:rPr>
      <w:color w:val="605E5C"/>
      <w:shd w:val="clear" w:color="auto" w:fill="E1DFDD"/>
    </w:rPr>
  </w:style>
  <w:style w:type="character" w:styleId="Collegamentovisitato">
    <w:name w:val="FollowedHyperlink"/>
    <w:basedOn w:val="Carpredefinitoparagrafo"/>
    <w:uiPriority w:val="99"/>
    <w:semiHidden/>
    <w:unhideWhenUsed/>
    <w:rsid w:val="003441FE"/>
    <w:rPr>
      <w:color w:val="96607D" w:themeColor="followedHyperlink"/>
      <w:u w:val="single"/>
    </w:rPr>
  </w:style>
  <w:style w:type="paragraph" w:styleId="Pidipagina">
    <w:name w:val="footer"/>
    <w:basedOn w:val="Normale"/>
    <w:link w:val="PidipaginaCarattere"/>
    <w:uiPriority w:val="99"/>
    <w:unhideWhenUsed/>
    <w:rsid w:val="002A693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A6937"/>
  </w:style>
  <w:style w:type="character" w:styleId="Numeropagina">
    <w:name w:val="page number"/>
    <w:basedOn w:val="Carpredefinitoparagrafo"/>
    <w:uiPriority w:val="99"/>
    <w:semiHidden/>
    <w:unhideWhenUsed/>
    <w:rsid w:val="002A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13548565231218629" TargetMode="External"/><Relationship Id="rId7" Type="http://schemas.openxmlformats.org/officeDocument/2006/relationships/hyperlink" Target="https://www.dazeddigital.com/life-culture/article/60228/1/instagram-keeps-banning-sex-positive-and-kink-accounts-censorship-creators" TargetMode="External"/><Relationship Id="rId2" Type="http://schemas.openxmlformats.org/officeDocument/2006/relationships/hyperlink" Target="https://doi.org/10.1145/3479610" TargetMode="External"/><Relationship Id="rId1" Type="http://schemas.openxmlformats.org/officeDocument/2006/relationships/hyperlink" Target="https://doi.org/10.1177/20563051231155103" TargetMode="External"/><Relationship Id="rId6" Type="http://schemas.openxmlformats.org/officeDocument/2006/relationships/hyperlink" Target="https://doi.org/10.1080/1369118X.2024.2396621" TargetMode="External"/><Relationship Id="rId5" Type="http://schemas.openxmlformats.org/officeDocument/2006/relationships/hyperlink" Target="https://doi.org/10.1177/14614448241228544" TargetMode="External"/><Relationship Id="rId4" Type="http://schemas.openxmlformats.org/officeDocument/2006/relationships/hyperlink" Target="https://www.theguardian.com/global-development/2025/dec/11/meta-shuts-down-global-accounts-linked-to-abortion-advice-and-queer-conten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926</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Are</dc:creator>
  <cp:keywords/>
  <dc:description/>
  <cp:lastModifiedBy>Carolina Are</cp:lastModifiedBy>
  <cp:revision>4</cp:revision>
  <dcterms:created xsi:type="dcterms:W3CDTF">2026-01-27T14:17:00Z</dcterms:created>
  <dcterms:modified xsi:type="dcterms:W3CDTF">2026-01-27T16:14:00Z</dcterms:modified>
</cp:coreProperties>
</file>