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D4335" w:rsidRDefault="00000000">
      <w:pPr>
        <w:numPr>
          <w:ilvl w:val="0"/>
          <w:numId w:val="3"/>
        </w:numPr>
        <w:spacing w:after="200" w:line="240" w:lineRule="auto"/>
        <w:jc w:val="both"/>
        <w:rPr>
          <w:rFonts w:ascii="EB Garamond" w:eastAsia="EB Garamond" w:hAnsi="EB Garamond" w:cs="EB Garamond"/>
          <w:b/>
          <w:bCs/>
          <w:sz w:val="20"/>
          <w:szCs w:val="20"/>
        </w:rPr>
      </w:pPr>
      <w:r>
        <w:rPr>
          <w:rFonts w:ascii="EB Garamond" w:eastAsia="EB Garamond" w:hAnsi="EB Garamond" w:cs="EB Garamond"/>
          <w:b/>
          <w:bCs/>
          <w:sz w:val="20"/>
          <w:szCs w:val="20"/>
        </w:rPr>
        <w:t>The prevalence, impact and sources of deceptive AI-generated content in shaping public opinion on immigration in Europe and globally.</w:t>
      </w:r>
    </w:p>
    <w:p w14:paraId="00000002" w14:textId="77777777" w:rsidR="00BD4335" w:rsidRDefault="00000000">
      <w:pPr>
        <w:spacing w:after="200" w:line="240" w:lineRule="auto"/>
        <w:jc w:val="both"/>
        <w:rPr>
          <w:sz w:val="20"/>
          <w:szCs w:val="20"/>
        </w:rPr>
      </w:pPr>
      <w:r>
        <w:rPr>
          <w:sz w:val="20"/>
          <w:szCs w:val="20"/>
        </w:rPr>
        <w:t>The current case must be understood as part of the larger trend of immigration disinformation fueled by AI in Europe.</w:t>
      </w:r>
      <w:r>
        <w:rPr>
          <w:sz w:val="20"/>
          <w:szCs w:val="20"/>
          <w:vertAlign w:val="superscript"/>
        </w:rPr>
        <w:footnoteReference w:id="1"/>
      </w:r>
      <w:r>
        <w:rPr>
          <w:sz w:val="20"/>
          <w:szCs w:val="20"/>
        </w:rPr>
        <w:t xml:space="preserve"> Immigration is affected by the issues of culture, security, costs associated with welfare, and national identity.</w:t>
      </w:r>
      <w:r>
        <w:rPr>
          <w:sz w:val="20"/>
          <w:szCs w:val="20"/>
          <w:vertAlign w:val="superscript"/>
        </w:rPr>
        <w:footnoteReference w:id="2"/>
      </w:r>
      <w:r>
        <w:rPr>
          <w:sz w:val="20"/>
          <w:szCs w:val="20"/>
        </w:rPr>
        <w:t xml:space="preserve"> Artificial content offers what appears to be evidence for existing suspicions about migrants and refugees.</w:t>
      </w:r>
      <w:r>
        <w:rPr>
          <w:sz w:val="20"/>
          <w:szCs w:val="20"/>
          <w:vertAlign w:val="superscript"/>
        </w:rPr>
        <w:footnoteReference w:id="3"/>
      </w:r>
    </w:p>
    <w:p w14:paraId="00000003" w14:textId="77777777" w:rsidR="00BD4335" w:rsidRDefault="00000000">
      <w:pPr>
        <w:spacing w:after="200" w:line="240" w:lineRule="auto"/>
        <w:jc w:val="both"/>
        <w:rPr>
          <w:sz w:val="20"/>
          <w:szCs w:val="20"/>
        </w:rPr>
      </w:pPr>
      <w:r>
        <w:rPr>
          <w:sz w:val="20"/>
          <w:szCs w:val="20"/>
        </w:rPr>
        <w:t>Empirically, political figures, far-right networks, commercial pages, and cross-platform accounts use artificial intelligence to promote anti-immigration rhetoric.</w:t>
      </w:r>
      <w:r>
        <w:rPr>
          <w:sz w:val="20"/>
          <w:szCs w:val="20"/>
          <w:vertAlign w:val="superscript"/>
        </w:rPr>
        <w:footnoteReference w:id="4"/>
      </w:r>
      <w:r>
        <w:rPr>
          <w:sz w:val="20"/>
          <w:szCs w:val="20"/>
        </w:rPr>
        <w:t xml:space="preserve"> AI Forensics detected 51 synthetic images used in French political campaigns for 2024 European Parliament elections and legislative elections.</w:t>
      </w:r>
      <w:r>
        <w:rPr>
          <w:sz w:val="20"/>
          <w:szCs w:val="20"/>
          <w:vertAlign w:val="superscript"/>
        </w:rPr>
        <w:footnoteReference w:id="5"/>
      </w:r>
      <w:r>
        <w:rPr>
          <w:sz w:val="20"/>
          <w:szCs w:val="20"/>
        </w:rPr>
        <w:t xml:space="preserve"> According to </w:t>
      </w:r>
      <w:proofErr w:type="spellStart"/>
      <w:r>
        <w:rPr>
          <w:sz w:val="20"/>
          <w:szCs w:val="20"/>
        </w:rPr>
        <w:t>DFRLab</w:t>
      </w:r>
      <w:proofErr w:type="spellEnd"/>
      <w:r>
        <w:rPr>
          <w:sz w:val="20"/>
          <w:szCs w:val="20"/>
        </w:rPr>
        <w:t>, Rassemblement National and Lega used unidentified AI-generated images showing migrants "invading" Europe. One of the hashtags used by Rassemblement National gathered 4.12 million users on X platform, while one post created by Salvini reached nearly 612,000 viewers.</w:t>
      </w:r>
      <w:r>
        <w:rPr>
          <w:sz w:val="20"/>
          <w:szCs w:val="20"/>
          <w:vertAlign w:val="superscript"/>
        </w:rPr>
        <w:footnoteReference w:id="6"/>
      </w:r>
      <w:r>
        <w:rPr>
          <w:sz w:val="20"/>
          <w:szCs w:val="20"/>
        </w:rPr>
        <w:t xml:space="preserve"> ISD found 883 far-right social media posts in Germany featuring AI-generated content about migrant crime, sexual offenses, welfare abuse, and remigration.</w:t>
      </w:r>
      <w:r>
        <w:rPr>
          <w:sz w:val="20"/>
          <w:szCs w:val="20"/>
          <w:vertAlign w:val="superscript"/>
        </w:rPr>
        <w:footnoteReference w:id="7"/>
      </w:r>
    </w:p>
    <w:p w14:paraId="00000004" w14:textId="77777777" w:rsidR="00BD4335" w:rsidRDefault="00000000">
      <w:pPr>
        <w:spacing w:after="200" w:line="240" w:lineRule="auto"/>
        <w:jc w:val="both"/>
        <w:rPr>
          <w:sz w:val="20"/>
          <w:szCs w:val="20"/>
        </w:rPr>
      </w:pPr>
      <w:r>
        <w:rPr>
          <w:sz w:val="20"/>
          <w:szCs w:val="20"/>
        </w:rPr>
        <w:t>In the United Kingdom, similar tendencies emerge independently of election periods. Reuters confirmed that a fake AI-generated picture of a "migrant mob" attacking a hospital in Birmingham with axes spread across platforms.</w:t>
      </w:r>
      <w:r>
        <w:rPr>
          <w:sz w:val="20"/>
          <w:szCs w:val="20"/>
          <w:vertAlign w:val="superscript"/>
        </w:rPr>
        <w:footnoteReference w:id="8"/>
      </w:r>
      <w:r>
        <w:rPr>
          <w:sz w:val="20"/>
          <w:szCs w:val="20"/>
        </w:rPr>
        <w:t xml:space="preserve"> PA Media identified a TikTok channel called "</w:t>
      </w:r>
      <w:proofErr w:type="spellStart"/>
      <w:r>
        <w:rPr>
          <w:sz w:val="20"/>
          <w:szCs w:val="20"/>
        </w:rPr>
        <w:t>migrantvlog</w:t>
      </w:r>
      <w:proofErr w:type="spellEnd"/>
      <w:r>
        <w:rPr>
          <w:sz w:val="20"/>
          <w:szCs w:val="20"/>
        </w:rPr>
        <w:t>," which shared multiple AI videos about small boat arrivals from refugees stating that migrants get free food, cellphones, and housing from the authorities; one video had more than 374,000 views, while five others had more than 100,000 views.</w:t>
      </w:r>
      <w:r>
        <w:rPr>
          <w:sz w:val="20"/>
          <w:szCs w:val="20"/>
          <w:vertAlign w:val="superscript"/>
        </w:rPr>
        <w:footnoteReference w:id="9"/>
      </w:r>
      <w:r>
        <w:rPr>
          <w:sz w:val="20"/>
          <w:szCs w:val="20"/>
        </w:rPr>
        <w:t xml:space="preserve"> Full Fact noted an AI-generated Facebook video of migrants on a crowded Channel journey that had 400,000 views.</w:t>
      </w:r>
      <w:r>
        <w:rPr>
          <w:sz w:val="20"/>
          <w:szCs w:val="20"/>
          <w:vertAlign w:val="superscript"/>
        </w:rPr>
        <w:footnoteReference w:id="10"/>
      </w:r>
      <w:r>
        <w:rPr>
          <w:sz w:val="20"/>
          <w:szCs w:val="20"/>
        </w:rPr>
        <w:t xml:space="preserve"> The evidence further suggests that such content is produced not only by political actors and ideological networks, but also by commercially motivated accounts seeking engagement and advertising revenue. </w:t>
      </w:r>
    </w:p>
    <w:p w14:paraId="00000005" w14:textId="77777777" w:rsidR="00BD4335" w:rsidRDefault="00000000">
      <w:pPr>
        <w:spacing w:after="200" w:line="240" w:lineRule="auto"/>
        <w:jc w:val="both"/>
        <w:rPr>
          <w:sz w:val="20"/>
          <w:szCs w:val="20"/>
        </w:rPr>
      </w:pPr>
      <w:r>
        <w:rPr>
          <w:sz w:val="20"/>
          <w:szCs w:val="20"/>
        </w:rPr>
        <w:t>Such negative impacts are felt even beyond an individual’s personal view of a particular post. Studies have shown that deepfakes increase uncertainty and reduce people’s trust in news published on social media sites. Manual detection does not work perfectly, as according to a meta-analysis, with 55.54% overall detection accuracy and 57.31% for videos.</w:t>
      </w:r>
      <w:r>
        <w:rPr>
          <w:sz w:val="20"/>
          <w:szCs w:val="20"/>
          <w:vertAlign w:val="superscript"/>
        </w:rPr>
        <w:footnoteReference w:id="11"/>
      </w:r>
      <w:r>
        <w:rPr>
          <w:sz w:val="20"/>
          <w:szCs w:val="20"/>
        </w:rPr>
        <w:t xml:space="preserve"> However, labeling could help identify AI-generated material without impacting the credibility, accuracy, or willingness to distribute the material.</w:t>
      </w:r>
      <w:r>
        <w:rPr>
          <w:sz w:val="20"/>
          <w:szCs w:val="20"/>
          <w:vertAlign w:val="superscript"/>
        </w:rPr>
        <w:footnoteReference w:id="12"/>
      </w:r>
      <w:r>
        <w:rPr>
          <w:sz w:val="20"/>
          <w:szCs w:val="20"/>
        </w:rPr>
        <w:t xml:space="preserve"> The public opinion poll conducted by YouGov shows that immigration has become the main problem in the United Kingdom during August 2024, as it was mentioned as the most important problem by 51% of those who participated in the research.</w:t>
      </w:r>
      <w:r>
        <w:rPr>
          <w:sz w:val="20"/>
          <w:szCs w:val="20"/>
          <w:vertAlign w:val="superscript"/>
        </w:rPr>
        <w:footnoteReference w:id="13"/>
      </w:r>
      <w:r>
        <w:rPr>
          <w:sz w:val="20"/>
          <w:szCs w:val="20"/>
        </w:rPr>
        <w:t xml:space="preserve"> According to a survey conducted in France, 43% of citizens named immigration as the reason which played a role in voting in favor of some candidates during the 2024 European Parliament election.</w:t>
      </w:r>
      <w:r>
        <w:rPr>
          <w:sz w:val="20"/>
          <w:szCs w:val="20"/>
          <w:vertAlign w:val="superscript"/>
        </w:rPr>
        <w:footnoteReference w:id="14"/>
      </w:r>
    </w:p>
    <w:p w14:paraId="00000006" w14:textId="77777777" w:rsidR="00BD4335" w:rsidRDefault="00000000">
      <w:pPr>
        <w:spacing w:after="200" w:line="240" w:lineRule="auto"/>
        <w:jc w:val="both"/>
        <w:rPr>
          <w:sz w:val="20"/>
          <w:szCs w:val="20"/>
        </w:rPr>
      </w:pPr>
      <w:r>
        <w:rPr>
          <w:sz w:val="20"/>
          <w:szCs w:val="20"/>
        </w:rPr>
        <w:t xml:space="preserve">Meta recommends increasing the control procedure regarding AI posts that concern immigration and include the following aspects: protests, naming some person as a cause, elections, posts with intimidation content, illegal actions, </w:t>
      </w:r>
      <w:r>
        <w:rPr>
          <w:sz w:val="20"/>
          <w:szCs w:val="20"/>
        </w:rPr>
        <w:lastRenderedPageBreak/>
        <w:t>sexual assaults, benefits scam, and population replacement as well as civil unrest. People should be informed when there is a doubt concerning the incident or information contained in the post. Similar posts should be marked accordingly.</w:t>
      </w:r>
    </w:p>
    <w:p w14:paraId="00000007" w14:textId="77777777" w:rsidR="00BD4335" w:rsidRDefault="00000000">
      <w:pPr>
        <w:numPr>
          <w:ilvl w:val="0"/>
          <w:numId w:val="3"/>
        </w:numPr>
        <w:pBdr>
          <w:top w:val="none" w:sz="0" w:space="0" w:color="E5E7EB"/>
          <w:left w:val="none" w:sz="0" w:space="0" w:color="E5E7EB"/>
          <w:bottom w:val="none" w:sz="0" w:space="0" w:color="E5E7EB"/>
          <w:right w:val="none" w:sz="0" w:space="0" w:color="E5E7EB"/>
          <w:between w:val="none" w:sz="0" w:space="0" w:color="E5E7EB"/>
        </w:pBdr>
        <w:shd w:val="clear" w:color="auto" w:fill="FFFFFF"/>
        <w:spacing w:after="240" w:line="240" w:lineRule="auto"/>
        <w:jc w:val="both"/>
        <w:rPr>
          <w:rFonts w:ascii="EB Garamond" w:eastAsia="EB Garamond" w:hAnsi="EB Garamond" w:cs="EB Garamond"/>
          <w:b/>
          <w:bCs/>
          <w:sz w:val="20"/>
          <w:szCs w:val="20"/>
        </w:rPr>
      </w:pPr>
      <w:r>
        <w:rPr>
          <w:rFonts w:ascii="EB Garamond" w:eastAsia="EB Garamond" w:hAnsi="EB Garamond" w:cs="EB Garamond"/>
          <w:b/>
          <w:bCs/>
          <w:sz w:val="20"/>
          <w:szCs w:val="20"/>
        </w:rPr>
        <w:t xml:space="preserve">How social media platforms should address AI-generated harassment, hate or deception, including against politicians, while respecting freedom of expression, especially for political criticism, satire and </w:t>
      </w:r>
      <w:proofErr w:type="spellStart"/>
      <w:r>
        <w:rPr>
          <w:rFonts w:ascii="EB Garamond" w:eastAsia="EB Garamond" w:hAnsi="EB Garamond" w:cs="EB Garamond"/>
          <w:b/>
          <w:bCs/>
          <w:sz w:val="20"/>
          <w:szCs w:val="20"/>
        </w:rPr>
        <w:t>humour</w:t>
      </w:r>
      <w:proofErr w:type="spellEnd"/>
      <w:r>
        <w:rPr>
          <w:rFonts w:ascii="EB Garamond" w:eastAsia="EB Garamond" w:hAnsi="EB Garamond" w:cs="EB Garamond"/>
          <w:b/>
          <w:bCs/>
          <w:sz w:val="20"/>
          <w:szCs w:val="20"/>
        </w:rPr>
        <w:t>, including the necessity and proportionality of removal or alternative measures to reduce dissemination?</w:t>
      </w:r>
    </w:p>
    <w:p w14:paraId="00000008" w14:textId="77777777" w:rsidR="00BD4335" w:rsidRDefault="00000000">
      <w:pPr>
        <w:spacing w:after="160" w:line="240" w:lineRule="auto"/>
        <w:jc w:val="both"/>
        <w:rPr>
          <w:rFonts w:ascii="EB Garamond" w:eastAsia="EB Garamond" w:hAnsi="EB Garamond" w:cs="EB Garamond"/>
          <w:sz w:val="20"/>
          <w:szCs w:val="20"/>
        </w:rPr>
      </w:pPr>
      <w:r>
        <w:rPr>
          <w:rFonts w:ascii="EB Garamond" w:eastAsia="EB Garamond" w:hAnsi="EB Garamond" w:cs="EB Garamond"/>
          <w:sz w:val="20"/>
          <w:szCs w:val="20"/>
        </w:rPr>
        <w:t>All governing principles must be rooted in necessity and proportionality; removal isn’t always the appropriate remedy, and there is a range of intermediate measures. Regulation should narrowly target harmful or deceptive deepfakes while avoiding broader restrictions.</w:t>
      </w:r>
      <w:r>
        <w:rPr>
          <w:rFonts w:ascii="EB Garamond" w:eastAsia="EB Garamond" w:hAnsi="EB Garamond" w:cs="EB Garamond"/>
          <w:sz w:val="20"/>
          <w:szCs w:val="20"/>
          <w:vertAlign w:val="superscript"/>
        </w:rPr>
        <w:footnoteReference w:id="15"/>
      </w:r>
      <w:r>
        <w:rPr>
          <w:rFonts w:ascii="EB Garamond" w:eastAsia="EB Garamond" w:hAnsi="EB Garamond" w:cs="EB Garamond"/>
          <w:sz w:val="20"/>
          <w:szCs w:val="20"/>
        </w:rPr>
        <w:t xml:space="preserve"> Ex-post monitoring can’t guarantee full protection of individual freedom of expression, but it is the most feasible kind of human supervision which is necessary and legitimate to curb hate speech while protecting free speech.</w:t>
      </w:r>
      <w:r>
        <w:rPr>
          <w:rFonts w:ascii="EB Garamond" w:eastAsia="EB Garamond" w:hAnsi="EB Garamond" w:cs="EB Garamond"/>
          <w:sz w:val="20"/>
          <w:szCs w:val="20"/>
          <w:vertAlign w:val="superscript"/>
        </w:rPr>
        <w:footnoteReference w:id="16"/>
      </w:r>
      <w:r>
        <w:rPr>
          <w:rFonts w:ascii="EB Garamond" w:eastAsia="EB Garamond" w:hAnsi="EB Garamond" w:cs="EB Garamond"/>
          <w:sz w:val="20"/>
          <w:szCs w:val="20"/>
        </w:rPr>
        <w:t xml:space="preserve"> Political salience requires a higher level of scrutiny due to the ability to distort electoral and political discourse.</w:t>
      </w:r>
    </w:p>
    <w:p w14:paraId="0000000A" w14:textId="047FD0E6" w:rsidR="00BD4335" w:rsidRDefault="00CE2846">
      <w:pPr>
        <w:spacing w:after="160" w:line="240" w:lineRule="auto"/>
        <w:jc w:val="both"/>
        <w:rPr>
          <w:rFonts w:ascii="EB Garamond" w:eastAsia="EB Garamond" w:hAnsi="EB Garamond" w:cs="EB Garamond"/>
          <w:sz w:val="20"/>
          <w:szCs w:val="20"/>
        </w:rPr>
      </w:pPr>
      <w:r w:rsidRPr="00CE2846">
        <w:rPr>
          <w:rFonts w:ascii="EB Garamond" w:eastAsia="EB Garamond" w:hAnsi="EB Garamond" w:cs="EB Garamond"/>
          <w:i/>
          <w:iCs/>
          <w:sz w:val="20"/>
          <w:szCs w:val="20"/>
        </w:rPr>
        <w:t>(</w:t>
      </w:r>
      <w:proofErr w:type="spellStart"/>
      <w:r w:rsidRPr="00CE2846">
        <w:rPr>
          <w:rFonts w:ascii="EB Garamond" w:eastAsia="EB Garamond" w:hAnsi="EB Garamond" w:cs="EB Garamond"/>
          <w:b/>
          <w:bCs/>
          <w:i/>
          <w:iCs/>
          <w:sz w:val="20"/>
          <w:szCs w:val="20"/>
        </w:rPr>
        <w:t>i</w:t>
      </w:r>
      <w:proofErr w:type="spellEnd"/>
      <w:r w:rsidRPr="00CE2846">
        <w:rPr>
          <w:rFonts w:ascii="EB Garamond" w:eastAsia="EB Garamond" w:hAnsi="EB Garamond" w:cs="EB Garamond"/>
          <w:b/>
          <w:bCs/>
          <w:i/>
          <w:iCs/>
          <w:sz w:val="20"/>
          <w:szCs w:val="20"/>
        </w:rPr>
        <w:t xml:space="preserve">) Labelling </w:t>
      </w:r>
      <w:r>
        <w:rPr>
          <w:rFonts w:ascii="EB Garamond" w:eastAsia="EB Garamond" w:hAnsi="EB Garamond" w:cs="EB Garamond"/>
          <w:b/>
          <w:bCs/>
          <w:sz w:val="20"/>
          <w:szCs w:val="20"/>
        </w:rPr>
        <w:t xml:space="preserve">- </w:t>
      </w:r>
      <w:r w:rsidR="00000000">
        <w:rPr>
          <w:rFonts w:ascii="EB Garamond" w:eastAsia="EB Garamond" w:hAnsi="EB Garamond" w:cs="EB Garamond"/>
          <w:sz w:val="20"/>
          <w:szCs w:val="20"/>
        </w:rPr>
        <w:t xml:space="preserve">The Board in </w:t>
      </w:r>
      <w:r w:rsidR="00000000">
        <w:rPr>
          <w:rFonts w:ascii="EB Garamond" w:eastAsia="EB Garamond" w:hAnsi="EB Garamond" w:cs="EB Garamond"/>
          <w:i/>
          <w:iCs/>
          <w:sz w:val="20"/>
          <w:szCs w:val="20"/>
        </w:rPr>
        <w:t>AI-Generated Video in Iran-Israel Conflict,</w:t>
      </w:r>
      <w:r w:rsidR="00000000">
        <w:rPr>
          <w:rFonts w:ascii="EB Garamond" w:eastAsia="EB Garamond" w:hAnsi="EB Garamond" w:cs="EB Garamond"/>
          <w:sz w:val="20"/>
          <w:szCs w:val="20"/>
        </w:rPr>
        <w:t xml:space="preserve"> requiring a “High Risk AI” label for a synthetic video falsely depicting building damage, shows that even where removal isn’t warranted, platform duties extend to reducing material risks of public deception in high-stakes events</w:t>
      </w:r>
      <w:r w:rsidR="00000000">
        <w:rPr>
          <w:rFonts w:ascii="EB Garamond" w:eastAsia="EB Garamond" w:hAnsi="EB Garamond" w:cs="EB Garamond"/>
          <w:sz w:val="20"/>
          <w:szCs w:val="20"/>
          <w:vertAlign w:val="superscript"/>
        </w:rPr>
        <w:footnoteReference w:id="17"/>
      </w:r>
      <w:r w:rsidR="00000000">
        <w:rPr>
          <w:rFonts w:ascii="EB Garamond" w:eastAsia="EB Garamond" w:hAnsi="EB Garamond" w:cs="EB Garamond"/>
          <w:sz w:val="20"/>
          <w:szCs w:val="20"/>
        </w:rPr>
        <w:t xml:space="preserve">. Labelling can be a proportionate, expression-preserving response in many cases of misinformation. </w:t>
      </w:r>
    </w:p>
    <w:p w14:paraId="0000000B" w14:textId="77777777" w:rsidR="00BD4335" w:rsidRDefault="00000000">
      <w:pPr>
        <w:spacing w:after="160" w:line="240" w:lineRule="auto"/>
        <w:jc w:val="both"/>
        <w:rPr>
          <w:rFonts w:ascii="EB Garamond" w:eastAsia="EB Garamond" w:hAnsi="EB Garamond" w:cs="EB Garamond"/>
          <w:sz w:val="20"/>
          <w:szCs w:val="20"/>
        </w:rPr>
      </w:pPr>
      <w:r>
        <w:rPr>
          <w:rFonts w:ascii="EB Garamond" w:eastAsia="EB Garamond" w:hAnsi="EB Garamond" w:cs="EB Garamond"/>
          <w:sz w:val="20"/>
          <w:szCs w:val="20"/>
        </w:rPr>
        <w:t xml:space="preserve">As the Board determined that labelling with a “High Risk AI” marker was an appropriate response, not removal in the </w:t>
      </w:r>
      <w:r>
        <w:rPr>
          <w:rFonts w:ascii="EB Garamond" w:eastAsia="EB Garamond" w:hAnsi="EB Garamond" w:cs="EB Garamond"/>
          <w:i/>
          <w:iCs/>
          <w:sz w:val="20"/>
          <w:szCs w:val="20"/>
        </w:rPr>
        <w:t>Iran-Israel case</w:t>
      </w:r>
      <w:r>
        <w:rPr>
          <w:rFonts w:ascii="EB Garamond" w:eastAsia="EB Garamond" w:hAnsi="EB Garamond" w:cs="EB Garamond"/>
          <w:sz w:val="20"/>
          <w:szCs w:val="20"/>
        </w:rPr>
        <w:t xml:space="preserve">, this can be adopted through alternative measures like more severe labelling, downranking, </w:t>
      </w:r>
      <w:proofErr w:type="spellStart"/>
      <w:r>
        <w:rPr>
          <w:rFonts w:ascii="EB Garamond" w:eastAsia="EB Garamond" w:hAnsi="EB Garamond" w:cs="EB Garamond"/>
          <w:sz w:val="20"/>
          <w:szCs w:val="20"/>
        </w:rPr>
        <w:t>demonetisation</w:t>
      </w:r>
      <w:proofErr w:type="spellEnd"/>
      <w:r>
        <w:rPr>
          <w:rFonts w:ascii="EB Garamond" w:eastAsia="EB Garamond" w:hAnsi="EB Garamond" w:cs="EB Garamond"/>
          <w:sz w:val="20"/>
          <w:szCs w:val="20"/>
        </w:rPr>
        <w:t>, additional notes. This graduated approach can reduce dissemination without erasure. These can be deployed in ascending order of restrictiveness, with the most severe step being removal, while being consistent with the Santa Clara Principles.</w:t>
      </w:r>
      <w:r>
        <w:rPr>
          <w:rFonts w:ascii="EB Garamond" w:eastAsia="EB Garamond" w:hAnsi="EB Garamond" w:cs="EB Garamond"/>
          <w:sz w:val="20"/>
          <w:szCs w:val="20"/>
          <w:vertAlign w:val="superscript"/>
        </w:rPr>
        <w:footnoteReference w:id="18"/>
      </w:r>
      <w:r>
        <w:rPr>
          <w:rFonts w:ascii="EB Garamond" w:eastAsia="EB Garamond" w:hAnsi="EB Garamond" w:cs="EB Garamond"/>
          <w:sz w:val="20"/>
          <w:szCs w:val="20"/>
        </w:rPr>
        <w:t xml:space="preserve"> Meta's Misinformation Policy itself provides that a label may be applied where digitally created or altered content creates a "particularly high-risk of materially deceiving the public on a matter of public importance."</w:t>
      </w:r>
      <w:r>
        <w:rPr>
          <w:rFonts w:ascii="EB Garamond" w:eastAsia="EB Garamond" w:hAnsi="EB Garamond" w:cs="EB Garamond"/>
          <w:sz w:val="20"/>
          <w:szCs w:val="20"/>
          <w:vertAlign w:val="superscript"/>
        </w:rPr>
        <w:footnoteReference w:id="19"/>
      </w:r>
      <w:r>
        <w:rPr>
          <w:rFonts w:ascii="EB Garamond" w:eastAsia="EB Garamond" w:hAnsi="EB Garamond" w:cs="EB Garamond"/>
          <w:sz w:val="20"/>
          <w:szCs w:val="20"/>
        </w:rPr>
        <w:t xml:space="preserve"> So, this precedent isn't inapplicable in the present case as the threshold is a functional equivalence of risk. Anti-immigration protests targeting a named local politician is a </w:t>
      </w:r>
      <w:proofErr w:type="spellStart"/>
      <w:r>
        <w:rPr>
          <w:rFonts w:ascii="EB Garamond" w:eastAsia="EB Garamond" w:hAnsi="EB Garamond" w:cs="EB Garamond"/>
          <w:sz w:val="20"/>
          <w:szCs w:val="20"/>
        </w:rPr>
        <w:t>localised</w:t>
      </w:r>
      <w:proofErr w:type="spellEnd"/>
      <w:r>
        <w:rPr>
          <w:rFonts w:ascii="EB Garamond" w:eastAsia="EB Garamond" w:hAnsi="EB Garamond" w:cs="EB Garamond"/>
          <w:sz w:val="20"/>
          <w:szCs w:val="20"/>
        </w:rPr>
        <w:t xml:space="preserve"> high-risk environment. </w:t>
      </w:r>
    </w:p>
    <w:p w14:paraId="0000000C" w14:textId="77777777" w:rsidR="00BD4335" w:rsidRDefault="00000000">
      <w:pPr>
        <w:spacing w:after="160" w:line="240" w:lineRule="auto"/>
        <w:jc w:val="both"/>
        <w:rPr>
          <w:rFonts w:ascii="EB Garamond" w:eastAsia="EB Garamond" w:hAnsi="EB Garamond" w:cs="EB Garamond"/>
          <w:sz w:val="20"/>
          <w:szCs w:val="20"/>
        </w:rPr>
      </w:pPr>
      <w:r>
        <w:rPr>
          <w:rFonts w:ascii="EB Garamond" w:eastAsia="EB Garamond" w:hAnsi="EB Garamond" w:cs="EB Garamond"/>
          <w:sz w:val="20"/>
          <w:szCs w:val="20"/>
        </w:rPr>
        <w:t>Furthermore, AI-generated political content should carry cryptographic provenance metadata via standards such as the Coalition for Content Provenance and Authenticity (C2PA), with visible labels. Research has shown that cryptographic content credentials are technically feasible at scale and can remain statistically detectable even after certain modifications.</w:t>
      </w:r>
      <w:r>
        <w:rPr>
          <w:rFonts w:ascii="EB Garamond" w:eastAsia="EB Garamond" w:hAnsi="EB Garamond" w:cs="EB Garamond"/>
          <w:sz w:val="20"/>
          <w:szCs w:val="20"/>
          <w:vertAlign w:val="superscript"/>
        </w:rPr>
        <w:footnoteReference w:id="20"/>
      </w:r>
      <w:r>
        <w:rPr>
          <w:rFonts w:ascii="EB Garamond" w:eastAsia="EB Garamond" w:hAnsi="EB Garamond" w:cs="EB Garamond"/>
          <w:sz w:val="20"/>
          <w:szCs w:val="20"/>
        </w:rPr>
        <w:t xml:space="preserve"> This could probably be detected even after a user strips visible labels.</w:t>
      </w:r>
    </w:p>
    <w:p w14:paraId="0000000E" w14:textId="0A5BEB7E" w:rsidR="00BD4335" w:rsidRDefault="00CE2846">
      <w:pPr>
        <w:spacing w:after="160" w:line="240" w:lineRule="auto"/>
        <w:jc w:val="both"/>
        <w:rPr>
          <w:rFonts w:ascii="EB Garamond" w:eastAsia="EB Garamond" w:hAnsi="EB Garamond" w:cs="EB Garamond"/>
          <w:sz w:val="20"/>
          <w:szCs w:val="20"/>
        </w:rPr>
      </w:pPr>
      <w:r>
        <w:rPr>
          <w:rFonts w:ascii="EB Garamond" w:eastAsia="EB Garamond" w:hAnsi="EB Garamond" w:cs="EB Garamond"/>
          <w:b/>
          <w:bCs/>
          <w:i/>
          <w:iCs/>
          <w:sz w:val="20"/>
          <w:szCs w:val="20"/>
        </w:rPr>
        <w:t xml:space="preserve">(ii) Risk-Assessment Framework </w:t>
      </w:r>
      <w:r>
        <w:rPr>
          <w:rFonts w:ascii="EB Garamond" w:eastAsia="EB Garamond" w:hAnsi="EB Garamond" w:cs="EB Garamond"/>
          <w:sz w:val="20"/>
          <w:szCs w:val="20"/>
        </w:rPr>
        <w:t xml:space="preserve">- </w:t>
      </w:r>
      <w:r w:rsidR="00000000">
        <w:rPr>
          <w:rFonts w:ascii="EB Garamond" w:eastAsia="EB Garamond" w:hAnsi="EB Garamond" w:cs="EB Garamond"/>
          <w:sz w:val="20"/>
          <w:szCs w:val="20"/>
        </w:rPr>
        <w:t xml:space="preserve">Deceptively altered content impersonating a public figure may significantly harm public trust and cause reputational harm, even without mass circulation. It, therefore, becomes imperative that the qualitative, cumulative and anticipatory aspects of such dangers be </w:t>
      </w:r>
      <w:proofErr w:type="spellStart"/>
      <w:r w:rsidR="00000000">
        <w:rPr>
          <w:rFonts w:ascii="EB Garamond" w:eastAsia="EB Garamond" w:hAnsi="EB Garamond" w:cs="EB Garamond"/>
          <w:sz w:val="20"/>
          <w:szCs w:val="20"/>
        </w:rPr>
        <w:t>analysed</w:t>
      </w:r>
      <w:proofErr w:type="spellEnd"/>
      <w:r w:rsidR="00000000">
        <w:rPr>
          <w:rFonts w:ascii="EB Garamond" w:eastAsia="EB Garamond" w:hAnsi="EB Garamond" w:cs="EB Garamond"/>
          <w:sz w:val="20"/>
          <w:szCs w:val="20"/>
        </w:rPr>
        <w:t xml:space="preserve">. In the </w:t>
      </w:r>
      <w:r w:rsidR="00000000">
        <w:rPr>
          <w:rFonts w:ascii="EB Garamond" w:eastAsia="EB Garamond" w:hAnsi="EB Garamond" w:cs="EB Garamond"/>
          <w:i/>
          <w:iCs/>
          <w:sz w:val="20"/>
          <w:szCs w:val="20"/>
        </w:rPr>
        <w:t>Altered Video of President Biden</w:t>
      </w:r>
      <w:r w:rsidR="00000000">
        <w:rPr>
          <w:rFonts w:ascii="EB Garamond" w:eastAsia="EB Garamond" w:hAnsi="EB Garamond" w:cs="EB Garamond"/>
          <w:sz w:val="20"/>
          <w:szCs w:val="20"/>
        </w:rPr>
        <w:t xml:space="preserve"> case, the Board suggested expanding the policy through a shift from a method-based approach to a risk-contextual assessment standard.</w:t>
      </w:r>
      <w:r w:rsidR="00000000">
        <w:rPr>
          <w:rFonts w:ascii="EB Garamond" w:eastAsia="EB Garamond" w:hAnsi="EB Garamond" w:cs="EB Garamond"/>
          <w:sz w:val="20"/>
          <w:szCs w:val="20"/>
          <w:vertAlign w:val="superscript"/>
        </w:rPr>
        <w:footnoteReference w:id="21"/>
      </w:r>
      <w:r w:rsidR="00000000">
        <w:rPr>
          <w:rFonts w:ascii="EB Garamond" w:eastAsia="EB Garamond" w:hAnsi="EB Garamond" w:cs="EB Garamond"/>
          <w:sz w:val="20"/>
          <w:szCs w:val="20"/>
        </w:rPr>
        <w:t xml:space="preserve"> </w:t>
      </w:r>
    </w:p>
    <w:p w14:paraId="0000000F" w14:textId="77777777" w:rsidR="00BD4335" w:rsidRDefault="00000000">
      <w:pPr>
        <w:spacing w:after="160" w:line="240" w:lineRule="auto"/>
        <w:jc w:val="both"/>
        <w:rPr>
          <w:rFonts w:ascii="EB Garamond" w:eastAsia="EB Garamond" w:hAnsi="EB Garamond" w:cs="EB Garamond"/>
          <w:sz w:val="20"/>
          <w:szCs w:val="20"/>
        </w:rPr>
      </w:pPr>
      <w:r>
        <w:rPr>
          <w:rFonts w:ascii="EB Garamond" w:eastAsia="EB Garamond" w:hAnsi="EB Garamond" w:cs="EB Garamond"/>
          <w:sz w:val="20"/>
          <w:szCs w:val="20"/>
        </w:rPr>
        <w:t>Therefore, it is suggested that Meta should adopt a risk-specific assessment framework inspired by the Rabat Plan of Action’s high threshold towards evaluating expression, that considers factors such as: (</w:t>
      </w:r>
      <w:proofErr w:type="spellStart"/>
      <w:r>
        <w:rPr>
          <w:rFonts w:ascii="EB Garamond" w:eastAsia="EB Garamond" w:hAnsi="EB Garamond" w:cs="EB Garamond"/>
          <w:sz w:val="20"/>
          <w:szCs w:val="20"/>
        </w:rPr>
        <w:t>i</w:t>
      </w:r>
      <w:proofErr w:type="spellEnd"/>
      <w:r>
        <w:rPr>
          <w:rFonts w:ascii="EB Garamond" w:eastAsia="EB Garamond" w:hAnsi="EB Garamond" w:cs="EB Garamond"/>
          <w:sz w:val="20"/>
          <w:szCs w:val="20"/>
        </w:rPr>
        <w:t xml:space="preserve">) political context, (ii) likelihood to deceive a </w:t>
      </w:r>
      <w:r>
        <w:rPr>
          <w:rFonts w:ascii="EB Garamond" w:eastAsia="EB Garamond" w:hAnsi="EB Garamond" w:cs="EB Garamond"/>
          <w:sz w:val="20"/>
          <w:szCs w:val="20"/>
        </w:rPr>
        <w:lastRenderedPageBreak/>
        <w:t>viewer, (iii) vulnerability of audience, (iv) nature and severity of harm, (v) contextual signals like captions, the timing of dissemination etc., and the potential impact on democratic participation and institutional trust.</w:t>
      </w:r>
    </w:p>
    <w:p w14:paraId="00000010" w14:textId="77777777" w:rsidR="00BD4335" w:rsidRDefault="00000000">
      <w:pPr>
        <w:spacing w:after="160" w:line="240" w:lineRule="auto"/>
        <w:jc w:val="both"/>
        <w:rPr>
          <w:rFonts w:ascii="EB Garamond" w:eastAsia="EB Garamond" w:hAnsi="EB Garamond" w:cs="EB Garamond"/>
          <w:sz w:val="20"/>
          <w:szCs w:val="20"/>
        </w:rPr>
      </w:pPr>
      <w:r>
        <w:rPr>
          <w:rFonts w:ascii="EB Garamond" w:eastAsia="EB Garamond" w:hAnsi="EB Garamond" w:cs="EB Garamond"/>
          <w:sz w:val="20"/>
          <w:szCs w:val="20"/>
        </w:rPr>
        <w:t xml:space="preserve">The framework should also focus on a sixth factor that specifically addresses the identity-based vulnerability. The Board </w:t>
      </w:r>
      <w:r>
        <w:rPr>
          <w:rFonts w:ascii="EB Garamond" w:eastAsia="EB Garamond" w:hAnsi="EB Garamond" w:cs="EB Garamond"/>
          <w:i/>
          <w:iCs/>
          <w:sz w:val="20"/>
          <w:szCs w:val="20"/>
        </w:rPr>
        <w:t>in Explicit AI Images of Female Public Figures</w:t>
      </w:r>
      <w:r>
        <w:rPr>
          <w:rFonts w:ascii="EB Garamond" w:eastAsia="EB Garamond" w:hAnsi="EB Garamond" w:cs="EB Garamond"/>
          <w:sz w:val="20"/>
          <w:szCs w:val="20"/>
        </w:rPr>
        <w:t xml:space="preserve"> similarly dealt with the harms of AI-generated content in a political sphere, specific to gendered harassment. They highlighted how compounded harms are created when manipulated content intersects with pre-existing gender abuse patterns.</w:t>
      </w:r>
    </w:p>
    <w:p w14:paraId="00000011" w14:textId="77777777" w:rsidR="00BD4335" w:rsidRDefault="00000000">
      <w:pPr>
        <w:spacing w:after="160" w:line="240" w:lineRule="auto"/>
        <w:jc w:val="both"/>
        <w:rPr>
          <w:rFonts w:ascii="EB Garamond" w:eastAsia="EB Garamond" w:hAnsi="EB Garamond" w:cs="EB Garamond"/>
          <w:sz w:val="20"/>
          <w:szCs w:val="20"/>
        </w:rPr>
      </w:pPr>
      <w:r>
        <w:rPr>
          <w:rFonts w:ascii="EB Garamond" w:eastAsia="EB Garamond" w:hAnsi="EB Garamond" w:cs="EB Garamond"/>
          <w:sz w:val="20"/>
          <w:szCs w:val="20"/>
        </w:rPr>
        <w:t xml:space="preserve">Accordingly, the focus shouldn’t merely lie on the content itself, but also on the identity of the person impersonated and the social context within which it occurs. Explicitly </w:t>
      </w:r>
      <w:proofErr w:type="spellStart"/>
      <w:r>
        <w:rPr>
          <w:rFonts w:ascii="EB Garamond" w:eastAsia="EB Garamond" w:hAnsi="EB Garamond" w:cs="EB Garamond"/>
          <w:sz w:val="20"/>
          <w:szCs w:val="20"/>
        </w:rPr>
        <w:t>recognising</w:t>
      </w:r>
      <w:proofErr w:type="spellEnd"/>
      <w:r>
        <w:rPr>
          <w:rFonts w:ascii="EB Garamond" w:eastAsia="EB Garamond" w:hAnsi="EB Garamond" w:cs="EB Garamond"/>
          <w:sz w:val="20"/>
          <w:szCs w:val="20"/>
        </w:rPr>
        <w:t xml:space="preserve"> gender and other forms of vulnerability as risk-aggravating factors would strengthen such a framework significantly.</w:t>
      </w:r>
    </w:p>
    <w:p w14:paraId="00000013" w14:textId="2E46F6B7" w:rsidR="00BD4335" w:rsidRDefault="00CE2846">
      <w:pPr>
        <w:spacing w:after="160" w:line="240" w:lineRule="auto"/>
        <w:jc w:val="both"/>
        <w:rPr>
          <w:rFonts w:ascii="EB Garamond" w:eastAsia="EB Garamond" w:hAnsi="EB Garamond" w:cs="EB Garamond"/>
          <w:sz w:val="20"/>
          <w:szCs w:val="20"/>
          <w:vertAlign w:val="superscript"/>
        </w:rPr>
      </w:pPr>
      <w:r>
        <w:rPr>
          <w:rFonts w:ascii="EB Garamond" w:eastAsia="EB Garamond" w:hAnsi="EB Garamond" w:cs="EB Garamond"/>
          <w:b/>
          <w:bCs/>
          <w:i/>
          <w:iCs/>
          <w:sz w:val="20"/>
          <w:szCs w:val="20"/>
        </w:rPr>
        <w:t xml:space="preserve">(iii) Rights of the Public Figures </w:t>
      </w:r>
      <w:r>
        <w:rPr>
          <w:rFonts w:ascii="EB Garamond" w:eastAsia="EB Garamond" w:hAnsi="EB Garamond" w:cs="EB Garamond"/>
          <w:sz w:val="20"/>
          <w:szCs w:val="20"/>
        </w:rPr>
        <w:t xml:space="preserve">- </w:t>
      </w:r>
      <w:r w:rsidR="00000000">
        <w:rPr>
          <w:rFonts w:ascii="EB Garamond" w:eastAsia="EB Garamond" w:hAnsi="EB Garamond" w:cs="EB Garamond"/>
          <w:sz w:val="20"/>
          <w:szCs w:val="20"/>
        </w:rPr>
        <w:t xml:space="preserve">It is important to address the dichotomy between a public figure’s right to privacy and a creator’s right to freedom of expression. To allow smooth democratic discourse, the right to </w:t>
      </w:r>
      <w:proofErr w:type="spellStart"/>
      <w:r w:rsidR="00000000">
        <w:rPr>
          <w:rFonts w:ascii="EB Garamond" w:eastAsia="EB Garamond" w:hAnsi="EB Garamond" w:cs="EB Garamond"/>
          <w:sz w:val="20"/>
          <w:szCs w:val="20"/>
        </w:rPr>
        <w:t>criticise</w:t>
      </w:r>
      <w:proofErr w:type="spellEnd"/>
      <w:r w:rsidR="00000000">
        <w:rPr>
          <w:rFonts w:ascii="EB Garamond" w:eastAsia="EB Garamond" w:hAnsi="EB Garamond" w:cs="EB Garamond"/>
          <w:sz w:val="20"/>
          <w:szCs w:val="20"/>
        </w:rPr>
        <w:t xml:space="preserve"> a politician does indeed enjoy greater protection. However, the present case is not merely one of political criticism, but of political impersonation. The Board, in </w:t>
      </w:r>
      <w:r w:rsidR="00000000">
        <w:rPr>
          <w:rFonts w:ascii="EB Garamond" w:eastAsia="EB Garamond" w:hAnsi="EB Garamond" w:cs="EB Garamond"/>
          <w:i/>
          <w:iCs/>
          <w:sz w:val="20"/>
          <w:szCs w:val="20"/>
        </w:rPr>
        <w:t>Explicit AI Images of Female Public Figures</w:t>
      </w:r>
      <w:r w:rsidR="00000000">
        <w:rPr>
          <w:rFonts w:ascii="EB Garamond" w:eastAsia="EB Garamond" w:hAnsi="EB Garamond" w:cs="EB Garamond"/>
          <w:sz w:val="20"/>
          <w:szCs w:val="20"/>
        </w:rPr>
        <w:t>, highlighted how the freedom of expression guaranteed under the ICCPR is indeed non-derogable; however, certain factors must be kept in mind when assessing harms arising from AI-generated content.</w:t>
      </w:r>
      <w:r w:rsidR="00000000">
        <w:rPr>
          <w:rFonts w:ascii="EB Garamond" w:eastAsia="EB Garamond" w:hAnsi="EB Garamond" w:cs="EB Garamond"/>
          <w:sz w:val="20"/>
          <w:szCs w:val="20"/>
          <w:vertAlign w:val="superscript"/>
        </w:rPr>
        <w:footnoteReference w:id="22"/>
      </w:r>
    </w:p>
    <w:p w14:paraId="00000014" w14:textId="77777777" w:rsidR="00BD4335" w:rsidRDefault="00000000">
      <w:pPr>
        <w:spacing w:after="160" w:line="240" w:lineRule="auto"/>
        <w:jc w:val="both"/>
        <w:rPr>
          <w:rFonts w:ascii="EB Garamond" w:eastAsia="EB Garamond" w:hAnsi="EB Garamond" w:cs="EB Garamond"/>
          <w:sz w:val="20"/>
          <w:szCs w:val="20"/>
        </w:rPr>
      </w:pPr>
      <w:r>
        <w:rPr>
          <w:rFonts w:ascii="EB Garamond" w:eastAsia="EB Garamond" w:hAnsi="EB Garamond" w:cs="EB Garamond"/>
          <w:sz w:val="20"/>
          <w:szCs w:val="20"/>
        </w:rPr>
        <w:t xml:space="preserve">Firstly, the protection of rights of others (which would be the public figure, in the present case) is a legitimate aim to violate the freedom of expression of the creator, in accordance with the ICCPR; The ECHR has also consistently </w:t>
      </w:r>
      <w:proofErr w:type="spellStart"/>
      <w:r>
        <w:rPr>
          <w:rFonts w:ascii="EB Garamond" w:eastAsia="EB Garamond" w:hAnsi="EB Garamond" w:cs="EB Garamond"/>
          <w:sz w:val="20"/>
          <w:szCs w:val="20"/>
        </w:rPr>
        <w:t>recognised</w:t>
      </w:r>
      <w:proofErr w:type="spellEnd"/>
      <w:r>
        <w:rPr>
          <w:rFonts w:ascii="EB Garamond" w:eastAsia="EB Garamond" w:hAnsi="EB Garamond" w:cs="EB Garamond"/>
          <w:sz w:val="20"/>
          <w:szCs w:val="20"/>
        </w:rPr>
        <w:t xml:space="preserve"> that freedom of expression under Article 10, although fundamental, may be restricted where necessary to protect the rights of others. In </w:t>
      </w:r>
      <w:r>
        <w:rPr>
          <w:rFonts w:ascii="EB Garamond" w:eastAsia="EB Garamond" w:hAnsi="EB Garamond" w:cs="EB Garamond"/>
          <w:i/>
          <w:iCs/>
          <w:sz w:val="20"/>
          <w:szCs w:val="20"/>
        </w:rPr>
        <w:t>Delfi AS v. Estonia</w:t>
      </w:r>
      <w:r>
        <w:rPr>
          <w:rFonts w:ascii="EB Garamond" w:eastAsia="EB Garamond" w:hAnsi="EB Garamond" w:cs="EB Garamond"/>
          <w:sz w:val="20"/>
          <w:szCs w:val="20"/>
        </w:rPr>
        <w:t xml:space="preserve">, the Court highlighted that such rights must be balanced; when there exists a legitimate aim of protecting the rights of others, interferences may be justified where proportionate. </w:t>
      </w:r>
    </w:p>
    <w:p w14:paraId="00000015" w14:textId="77777777" w:rsidR="00BD4335" w:rsidRDefault="00000000">
      <w:pPr>
        <w:spacing w:after="160" w:line="240" w:lineRule="auto"/>
        <w:jc w:val="both"/>
        <w:rPr>
          <w:rFonts w:ascii="EB Garamond" w:eastAsia="EB Garamond" w:hAnsi="EB Garamond" w:cs="EB Garamond"/>
          <w:sz w:val="20"/>
          <w:szCs w:val="20"/>
        </w:rPr>
      </w:pPr>
      <w:r>
        <w:rPr>
          <w:rFonts w:ascii="EB Garamond" w:eastAsia="EB Garamond" w:hAnsi="EB Garamond" w:cs="EB Garamond"/>
          <w:sz w:val="20"/>
          <w:szCs w:val="20"/>
        </w:rPr>
        <w:t>Secondly, the restrictions on such freedoms must be in accordance with the principles of necessity and proportionality.</w:t>
      </w:r>
      <w:r>
        <w:rPr>
          <w:rFonts w:ascii="EB Garamond" w:eastAsia="EB Garamond" w:hAnsi="EB Garamond" w:cs="EB Garamond"/>
          <w:sz w:val="20"/>
          <w:szCs w:val="20"/>
          <w:vertAlign w:val="superscript"/>
        </w:rPr>
        <w:footnoteReference w:id="23"/>
      </w:r>
      <w:r>
        <w:rPr>
          <w:rFonts w:ascii="EB Garamond" w:eastAsia="EB Garamond" w:hAnsi="EB Garamond" w:cs="EB Garamond"/>
          <w:sz w:val="20"/>
          <w:szCs w:val="20"/>
        </w:rPr>
        <w:t xml:space="preserve"> Lastly, the severity of harms must also be considered. Any content governance framework must distinguish severe harms from offensive political speech to preserve high tolerance for criticism and satire, as </w:t>
      </w:r>
      <w:proofErr w:type="spellStart"/>
      <w:r>
        <w:rPr>
          <w:rFonts w:ascii="EB Garamond" w:eastAsia="EB Garamond" w:hAnsi="EB Garamond" w:cs="EB Garamond"/>
          <w:sz w:val="20"/>
          <w:szCs w:val="20"/>
        </w:rPr>
        <w:t>analysed</w:t>
      </w:r>
      <w:proofErr w:type="spellEnd"/>
      <w:r>
        <w:rPr>
          <w:rFonts w:ascii="EB Garamond" w:eastAsia="EB Garamond" w:hAnsi="EB Garamond" w:cs="EB Garamond"/>
          <w:sz w:val="20"/>
          <w:szCs w:val="20"/>
        </w:rPr>
        <w:t xml:space="preserve"> in </w:t>
      </w:r>
      <w:r>
        <w:rPr>
          <w:rFonts w:ascii="EB Garamond" w:eastAsia="EB Garamond" w:hAnsi="EB Garamond" w:cs="EB Garamond"/>
          <w:i/>
          <w:iCs/>
          <w:sz w:val="20"/>
          <w:szCs w:val="20"/>
        </w:rPr>
        <w:t>Derogatory Image of Harris and Walz</w:t>
      </w:r>
      <w:r>
        <w:rPr>
          <w:rFonts w:ascii="EB Garamond" w:eastAsia="EB Garamond" w:hAnsi="EB Garamond" w:cs="EB Garamond"/>
          <w:sz w:val="20"/>
          <w:szCs w:val="20"/>
        </w:rPr>
        <w:t xml:space="preserve">. </w:t>
      </w:r>
      <w:r>
        <w:rPr>
          <w:rFonts w:ascii="EB Garamond" w:eastAsia="EB Garamond" w:hAnsi="EB Garamond" w:cs="EB Garamond"/>
          <w:sz w:val="20"/>
          <w:szCs w:val="20"/>
          <w:vertAlign w:val="superscript"/>
        </w:rPr>
        <w:footnoteReference w:id="24"/>
      </w:r>
      <w:r>
        <w:rPr>
          <w:rFonts w:ascii="EB Garamond" w:eastAsia="EB Garamond" w:hAnsi="EB Garamond" w:cs="EB Garamond"/>
          <w:sz w:val="20"/>
          <w:szCs w:val="20"/>
        </w:rPr>
        <w:t xml:space="preserve"> A caveat to this should be when content is designed to deceive rather than comment, such as instances where a synthetic video presents genuine footage to mislead voters or incite harassment.</w:t>
      </w:r>
    </w:p>
    <w:p w14:paraId="00000017" w14:textId="631BA5B6" w:rsidR="00BD4335" w:rsidRDefault="00000000" w:rsidP="00CE2846">
      <w:pPr>
        <w:spacing w:after="160" w:line="240" w:lineRule="auto"/>
        <w:jc w:val="both"/>
        <w:rPr>
          <w:rFonts w:ascii="EB Garamond" w:eastAsia="EB Garamond" w:hAnsi="EB Garamond" w:cs="EB Garamond"/>
          <w:b/>
          <w:bCs/>
          <w:sz w:val="20"/>
          <w:szCs w:val="20"/>
        </w:rPr>
      </w:pPr>
      <w:r>
        <w:rPr>
          <w:rFonts w:ascii="EB Garamond" w:eastAsia="EB Garamond" w:hAnsi="EB Garamond" w:cs="EB Garamond"/>
          <w:b/>
          <w:bCs/>
          <w:sz w:val="20"/>
          <w:szCs w:val="20"/>
        </w:rPr>
        <w:t xml:space="preserve">3) If and how platform policy and design choices can create incentives, including through monetization and recommendations, for people to share deceptive AI-generated content and how to mitigate or prevent adverse human rights impacts from them.  </w:t>
      </w:r>
    </w:p>
    <w:p w14:paraId="00000018" w14:textId="77777777" w:rsidR="00BD4335" w:rsidRDefault="00000000">
      <w:pPr>
        <w:spacing w:line="240" w:lineRule="auto"/>
        <w:jc w:val="both"/>
        <w:rPr>
          <w:sz w:val="20"/>
          <w:szCs w:val="20"/>
        </w:rPr>
      </w:pPr>
      <w:r>
        <w:rPr>
          <w:sz w:val="20"/>
          <w:szCs w:val="20"/>
        </w:rPr>
        <w:t xml:space="preserve">The spread of the deepfake targeting the </w:t>
      </w:r>
      <w:proofErr w:type="spellStart"/>
      <w:r>
        <w:rPr>
          <w:sz w:val="20"/>
          <w:szCs w:val="20"/>
        </w:rPr>
        <w:t>Councillor</w:t>
      </w:r>
      <w:proofErr w:type="spellEnd"/>
      <w:r>
        <w:rPr>
          <w:sz w:val="20"/>
          <w:szCs w:val="20"/>
        </w:rPr>
        <w:t xml:space="preserve"> is not simply a story about one bad actor. It is a story about what the platform makes easy. A study published in the </w:t>
      </w:r>
      <w:r>
        <w:rPr>
          <w:i/>
          <w:iCs/>
          <w:sz w:val="20"/>
          <w:szCs w:val="20"/>
        </w:rPr>
        <w:t>Proceedings of the National Academy of Sciences testing</w:t>
      </w:r>
      <w:r>
        <w:rPr>
          <w:sz w:val="20"/>
          <w:szCs w:val="20"/>
        </w:rPr>
        <w:t xml:space="preserve"> 2,476 participants across four experiments, found that misinformation spreads on social media not primarily because people are gullible or partisan, but because platform reward structures train users to share content that earns likes and comments, regardless of whether that content is true. Once these habits form, sharing is triggered automatically by platform cues, with users giving little consideration to what they are actually amplifying. The study found that 30 to 40% of false content shared was attributable to the 15% most habitual sharers.</w:t>
      </w:r>
      <w:r>
        <w:rPr>
          <w:sz w:val="20"/>
          <w:szCs w:val="20"/>
          <w:vertAlign w:val="superscript"/>
        </w:rPr>
        <w:footnoteReference w:id="25"/>
      </w:r>
      <w:r>
        <w:rPr>
          <w:sz w:val="20"/>
          <w:szCs w:val="20"/>
        </w:rPr>
        <w:t xml:space="preserve"> This spread comes from design, not malice.</w:t>
      </w:r>
    </w:p>
    <w:p w14:paraId="00000019" w14:textId="77777777" w:rsidR="00BD4335" w:rsidRDefault="00BD4335">
      <w:pPr>
        <w:spacing w:line="240" w:lineRule="auto"/>
        <w:jc w:val="both"/>
        <w:rPr>
          <w:sz w:val="20"/>
          <w:szCs w:val="20"/>
        </w:rPr>
      </w:pPr>
    </w:p>
    <w:p w14:paraId="0000001A" w14:textId="77777777" w:rsidR="00BD4335" w:rsidRDefault="00000000">
      <w:pPr>
        <w:spacing w:line="240" w:lineRule="auto"/>
        <w:jc w:val="both"/>
        <w:rPr>
          <w:sz w:val="20"/>
          <w:szCs w:val="20"/>
        </w:rPr>
      </w:pPr>
      <w:r>
        <w:rPr>
          <w:sz w:val="20"/>
          <w:szCs w:val="20"/>
        </w:rPr>
        <w:lastRenderedPageBreak/>
        <w:t xml:space="preserve">We must also </w:t>
      </w:r>
      <w:proofErr w:type="spellStart"/>
      <w:r>
        <w:rPr>
          <w:sz w:val="20"/>
          <w:szCs w:val="20"/>
        </w:rPr>
        <w:t>analyse</w:t>
      </w:r>
      <w:proofErr w:type="spellEnd"/>
      <w:r>
        <w:rPr>
          <w:sz w:val="20"/>
          <w:szCs w:val="20"/>
        </w:rPr>
        <w:t xml:space="preserve"> how Meta </w:t>
      </w:r>
      <w:proofErr w:type="spellStart"/>
      <w:r>
        <w:rPr>
          <w:sz w:val="20"/>
          <w:szCs w:val="20"/>
        </w:rPr>
        <w:t>prioritises</w:t>
      </w:r>
      <w:proofErr w:type="spellEnd"/>
      <w:r>
        <w:rPr>
          <w:sz w:val="20"/>
          <w:szCs w:val="20"/>
        </w:rPr>
        <w:t xml:space="preserve"> reports to be reviewed by humans. They consider 3 main factors: Severity, Virality and Likelihood of Violating.</w:t>
      </w:r>
      <w:r>
        <w:rPr>
          <w:sz w:val="20"/>
          <w:szCs w:val="20"/>
          <w:vertAlign w:val="superscript"/>
        </w:rPr>
        <w:footnoteReference w:id="26"/>
      </w:r>
      <w:r>
        <w:rPr>
          <w:sz w:val="20"/>
          <w:szCs w:val="20"/>
        </w:rPr>
        <w:t xml:space="preserve"> Their policy attributes virality with harm, which automatically disqualifies anything but large-scale content from human review. This indicates a systemic design failure that no amount of AI detection can mitigate. The United Nations Guiding Principles on Business and Human Rights clearly prescribes a responsibility on business enterprises to respect and avoid infringing on human rights of others, and to address adverse human rights impacts with which they are involved, even if they have not contributed to those impacts.</w:t>
      </w:r>
      <w:r>
        <w:rPr>
          <w:sz w:val="20"/>
          <w:szCs w:val="20"/>
          <w:vertAlign w:val="superscript"/>
        </w:rPr>
        <w:footnoteReference w:id="27"/>
      </w:r>
      <w:r>
        <w:rPr>
          <w:sz w:val="20"/>
          <w:szCs w:val="20"/>
        </w:rPr>
        <w:t xml:space="preserve"> Thus, Meta’s failure to audit its </w:t>
      </w:r>
      <w:proofErr w:type="spellStart"/>
      <w:r>
        <w:rPr>
          <w:sz w:val="20"/>
          <w:szCs w:val="20"/>
        </w:rPr>
        <w:t>prioritisation</w:t>
      </w:r>
      <w:proofErr w:type="spellEnd"/>
      <w:r>
        <w:rPr>
          <w:sz w:val="20"/>
          <w:szCs w:val="20"/>
        </w:rPr>
        <w:t xml:space="preserve"> system for disparate impact constitutes a failure of the due diligence that the UNGP outlines.</w:t>
      </w:r>
    </w:p>
    <w:p w14:paraId="0000001B" w14:textId="77777777" w:rsidR="00BD4335" w:rsidRDefault="00BD4335">
      <w:pPr>
        <w:spacing w:line="240" w:lineRule="auto"/>
        <w:jc w:val="both"/>
        <w:rPr>
          <w:sz w:val="20"/>
          <w:szCs w:val="20"/>
        </w:rPr>
      </w:pPr>
    </w:p>
    <w:p w14:paraId="0000001C" w14:textId="77777777" w:rsidR="00BD4335" w:rsidRDefault="00000000">
      <w:pPr>
        <w:spacing w:line="240" w:lineRule="auto"/>
        <w:jc w:val="both"/>
        <w:rPr>
          <w:sz w:val="20"/>
          <w:szCs w:val="20"/>
        </w:rPr>
      </w:pPr>
      <w:r>
        <w:rPr>
          <w:sz w:val="20"/>
          <w:szCs w:val="20"/>
        </w:rPr>
        <w:t>The risk posed by deepfakes cannot be assessed solely through their virality or engagement metrics. Emerging research suggests that virality and harm are distinct variables, and that some of the most harmful forms of misleading content may never become the most widely shared.</w:t>
      </w:r>
      <w:r>
        <w:rPr>
          <w:sz w:val="20"/>
          <w:szCs w:val="20"/>
          <w:vertAlign w:val="superscript"/>
        </w:rPr>
        <w:footnoteReference w:id="28"/>
      </w:r>
      <w:r>
        <w:rPr>
          <w:sz w:val="20"/>
          <w:szCs w:val="20"/>
        </w:rPr>
        <w:t xml:space="preserve">  A human rights approach focuses on the severity of the impact on affected individuals and democratic processes rather than the scale of dissemination. Deceptive synthetic media can undermine political participation, damage reputations, and distort democratic discourse even when engagement remains relatively low, demonstrating that harm and virality are distinct concepts.</w:t>
      </w:r>
      <w:r>
        <w:rPr>
          <w:sz w:val="20"/>
          <w:szCs w:val="20"/>
          <w:vertAlign w:val="superscript"/>
        </w:rPr>
        <w:footnoteReference w:id="29"/>
      </w:r>
    </w:p>
    <w:p w14:paraId="7417A378" w14:textId="77777777" w:rsidR="00CE2846" w:rsidRDefault="00CE2846">
      <w:pPr>
        <w:spacing w:line="240" w:lineRule="auto"/>
        <w:jc w:val="both"/>
        <w:rPr>
          <w:sz w:val="20"/>
          <w:szCs w:val="20"/>
        </w:rPr>
      </w:pPr>
    </w:p>
    <w:p w14:paraId="0000001D" w14:textId="77777777" w:rsidR="00BD4335" w:rsidRDefault="00000000">
      <w:pPr>
        <w:spacing w:line="240" w:lineRule="auto"/>
        <w:rPr>
          <w:sz w:val="20"/>
          <w:szCs w:val="20"/>
        </w:rPr>
      </w:pPr>
      <w:r>
        <w:rPr>
          <w:sz w:val="20"/>
          <w:szCs w:val="20"/>
        </w:rPr>
        <w:t xml:space="preserve">Given the potential of deepfakes to undermine democratic participation, damage reputations, and facilitate deception, mitigation measures should focus on preventing harms before they </w:t>
      </w:r>
      <w:proofErr w:type="spellStart"/>
      <w:r>
        <w:rPr>
          <w:sz w:val="20"/>
          <w:szCs w:val="20"/>
        </w:rPr>
        <w:t>materialise</w:t>
      </w:r>
      <w:proofErr w:type="spellEnd"/>
      <w:r>
        <w:rPr>
          <w:sz w:val="20"/>
          <w:szCs w:val="20"/>
        </w:rPr>
        <w:t>:</w:t>
      </w:r>
    </w:p>
    <w:p w14:paraId="0000001E" w14:textId="77777777" w:rsidR="00BD4335" w:rsidRDefault="00000000">
      <w:pPr>
        <w:numPr>
          <w:ilvl w:val="0"/>
          <w:numId w:val="2"/>
        </w:numPr>
        <w:spacing w:line="240" w:lineRule="auto"/>
        <w:jc w:val="both"/>
        <w:rPr>
          <w:sz w:val="20"/>
          <w:szCs w:val="20"/>
        </w:rPr>
      </w:pPr>
      <w:r>
        <w:rPr>
          <w:rFonts w:ascii="EB Garamond" w:eastAsia="EB Garamond" w:hAnsi="EB Garamond" w:cs="EB Garamond"/>
          <w:b/>
          <w:bCs/>
          <w:sz w:val="20"/>
          <w:szCs w:val="20"/>
        </w:rPr>
        <w:t xml:space="preserve">High-Risk Classification for Electoral Deepfakes: </w:t>
      </w:r>
      <w:r>
        <w:rPr>
          <w:sz w:val="20"/>
          <w:szCs w:val="20"/>
        </w:rPr>
        <w:t xml:space="preserve">AI systems designed or deployed for electoral manipulation should be classified as high-risk systems. Such classification would trigger enhanced regulatory scrutiny and safeguards due to their capacity to interfere with democratic participation, distort public discourse, and undermine the right to vote. </w:t>
      </w:r>
    </w:p>
    <w:p w14:paraId="0000001F" w14:textId="77777777" w:rsidR="00BD4335" w:rsidRDefault="00000000">
      <w:pPr>
        <w:numPr>
          <w:ilvl w:val="0"/>
          <w:numId w:val="2"/>
        </w:numPr>
        <w:spacing w:line="240" w:lineRule="auto"/>
        <w:jc w:val="both"/>
        <w:rPr>
          <w:sz w:val="20"/>
          <w:szCs w:val="20"/>
        </w:rPr>
      </w:pPr>
      <w:r>
        <w:rPr>
          <w:rFonts w:ascii="EB Garamond" w:eastAsia="EB Garamond" w:hAnsi="EB Garamond" w:cs="EB Garamond"/>
          <w:b/>
          <w:bCs/>
          <w:sz w:val="20"/>
          <w:szCs w:val="20"/>
        </w:rPr>
        <w:t>Platform Responsibility and Early Intervention:</w:t>
      </w:r>
      <w:r>
        <w:rPr>
          <w:sz w:val="20"/>
          <w:szCs w:val="20"/>
        </w:rPr>
        <w:t xml:space="preserve"> Research on disinformation demonstrates that false information can spread at a pace that far exceeds corrective responses, allowing harmful narratives to influence public discourse before verification mechanisms can operate effectively. Accordingly, platforms should prioritize real-time detection, contextual warnings, and rapid response mechanisms rather than relying solely on post hoc moderation.</w:t>
      </w:r>
      <w:r>
        <w:rPr>
          <w:sz w:val="20"/>
          <w:szCs w:val="20"/>
          <w:vertAlign w:val="superscript"/>
        </w:rPr>
        <w:footnoteReference w:id="30"/>
      </w:r>
    </w:p>
    <w:p w14:paraId="00000020" w14:textId="77777777" w:rsidR="00BD4335" w:rsidRDefault="00000000">
      <w:pPr>
        <w:numPr>
          <w:ilvl w:val="0"/>
          <w:numId w:val="2"/>
        </w:numPr>
        <w:spacing w:line="240" w:lineRule="auto"/>
        <w:jc w:val="both"/>
        <w:rPr>
          <w:sz w:val="20"/>
          <w:szCs w:val="20"/>
        </w:rPr>
      </w:pPr>
      <w:r>
        <w:rPr>
          <w:rFonts w:ascii="EB Garamond" w:eastAsia="EB Garamond" w:hAnsi="EB Garamond" w:cs="EB Garamond"/>
          <w:b/>
          <w:bCs/>
          <w:sz w:val="20"/>
          <w:szCs w:val="20"/>
        </w:rPr>
        <w:t>Transparency and Disclosure Requirements:</w:t>
      </w:r>
      <w:r>
        <w:rPr>
          <w:sz w:val="20"/>
          <w:szCs w:val="20"/>
        </w:rPr>
        <w:t xml:space="preserve">  The EU AI Act requires the disclosure and labeling of AI-generated or manipulated content, enabling users to understand when content has been artificially generated. Such transparency measures reduce the likelihood that synthetic media will be used deceptively in political or social contexts.</w:t>
      </w:r>
      <w:r>
        <w:rPr>
          <w:sz w:val="20"/>
          <w:szCs w:val="20"/>
          <w:vertAlign w:val="superscript"/>
        </w:rPr>
        <w:footnoteReference w:id="31"/>
      </w:r>
      <w:r>
        <w:rPr>
          <w:sz w:val="20"/>
          <w:szCs w:val="20"/>
        </w:rPr>
        <w:t xml:space="preserve"> Article 50 further requires providers of generative AI systems to mark such content in a machine-readable format and extends transparency obligations to deployers. As Meta operates generative AI features such as Reels tools and AI stickers, it may qualify as a deployer and bear independent disclosure obligations. Hence, Meta’s current approach falls below transparency standards required in major jurisdictions.</w:t>
      </w:r>
    </w:p>
    <w:p w14:paraId="26F67E06" w14:textId="77777777" w:rsidR="00CE2846" w:rsidRDefault="00CE2846">
      <w:pPr>
        <w:spacing w:line="240" w:lineRule="auto"/>
        <w:jc w:val="both"/>
        <w:rPr>
          <w:sz w:val="20"/>
          <w:szCs w:val="20"/>
        </w:rPr>
      </w:pPr>
    </w:p>
    <w:p w14:paraId="7B0D4675" w14:textId="4754EE8A" w:rsidR="00CE2846" w:rsidRPr="00CE2846" w:rsidRDefault="00CE2846" w:rsidP="00CE2846">
      <w:pPr>
        <w:spacing w:after="160" w:line="240" w:lineRule="auto"/>
        <w:jc w:val="both"/>
        <w:rPr>
          <w:rFonts w:ascii="EB Garamond" w:eastAsia="EB Garamond" w:hAnsi="EB Garamond" w:cs="EB Garamond"/>
          <w:b/>
          <w:bCs/>
          <w:sz w:val="20"/>
          <w:szCs w:val="20"/>
          <w:lang w:val="en-GB"/>
        </w:rPr>
      </w:pPr>
      <w:r>
        <w:rPr>
          <w:rFonts w:ascii="EB Garamond" w:eastAsia="EB Garamond" w:hAnsi="EB Garamond" w:cs="EB Garamond"/>
          <w:b/>
          <w:bCs/>
          <w:sz w:val="20"/>
          <w:szCs w:val="20"/>
        </w:rPr>
        <w:t>4</w:t>
      </w:r>
      <w:r>
        <w:rPr>
          <w:rFonts w:ascii="EB Garamond" w:eastAsia="EB Garamond" w:hAnsi="EB Garamond" w:cs="EB Garamond"/>
          <w:b/>
          <w:bCs/>
          <w:sz w:val="20"/>
          <w:szCs w:val="20"/>
        </w:rPr>
        <w:t xml:space="preserve">) </w:t>
      </w:r>
      <w:r w:rsidRPr="00CE2846">
        <w:rPr>
          <w:rFonts w:ascii="EB Garamond" w:eastAsia="EB Garamond" w:hAnsi="EB Garamond" w:cs="EB Garamond"/>
          <w:b/>
          <w:bCs/>
          <w:sz w:val="20"/>
          <w:szCs w:val="20"/>
          <w:lang w:val="en-GB"/>
        </w:rPr>
        <w:t>How deepfake techniques are used in harassment campaigns against people who speak out on controversial issues, including politicians, and the broader impacts of deceptive</w:t>
      </w:r>
      <w:r>
        <w:rPr>
          <w:rFonts w:ascii="EB Garamond" w:eastAsia="EB Garamond" w:hAnsi="EB Garamond" w:cs="EB Garamond"/>
          <w:b/>
          <w:bCs/>
          <w:sz w:val="20"/>
          <w:szCs w:val="20"/>
          <w:lang w:val="en-GB"/>
        </w:rPr>
        <w:t xml:space="preserve"> </w:t>
      </w:r>
      <w:r w:rsidRPr="00CE2846">
        <w:rPr>
          <w:rFonts w:ascii="EB Garamond" w:eastAsia="EB Garamond" w:hAnsi="EB Garamond" w:cs="EB Garamond"/>
          <w:b/>
          <w:bCs/>
          <w:sz w:val="20"/>
          <w:szCs w:val="20"/>
          <w:lang w:val="en-GB"/>
        </w:rPr>
        <w:t>AI-generated attacks to discredit people on access to information and political participation. </w:t>
      </w:r>
    </w:p>
    <w:p w14:paraId="00000021" w14:textId="63D122D0" w:rsidR="00BD4335" w:rsidRDefault="00000000">
      <w:pPr>
        <w:spacing w:line="240" w:lineRule="auto"/>
        <w:jc w:val="both"/>
        <w:rPr>
          <w:sz w:val="20"/>
          <w:szCs w:val="20"/>
        </w:rPr>
      </w:pPr>
      <w:r>
        <w:rPr>
          <w:sz w:val="20"/>
          <w:szCs w:val="20"/>
        </w:rPr>
        <w:lastRenderedPageBreak/>
        <w:t xml:space="preserve">Meta’s rationale behind not taking down the concerned videos rested mainly on three pillars. Firstly, the </w:t>
      </w:r>
      <w:proofErr w:type="spellStart"/>
      <w:r>
        <w:rPr>
          <w:sz w:val="20"/>
          <w:szCs w:val="20"/>
        </w:rPr>
        <w:t>councillor</w:t>
      </w:r>
      <w:r w:rsidR="00CE2846">
        <w:rPr>
          <w:sz w:val="20"/>
          <w:szCs w:val="20"/>
        </w:rPr>
        <w:t>’</w:t>
      </w:r>
      <w:r>
        <w:rPr>
          <w:sz w:val="20"/>
          <w:szCs w:val="20"/>
        </w:rPr>
        <w:t>s</w:t>
      </w:r>
      <w:proofErr w:type="spellEnd"/>
      <w:r>
        <w:rPr>
          <w:sz w:val="20"/>
          <w:szCs w:val="20"/>
        </w:rPr>
        <w:t xml:space="preserve"> status of being a public figure, secondly, the content’s low engagement, and thirdly, the satirical character that it was purposed for. Together, they form a tripartite enforcement architecture which lies in conflict with Articles 19 and 20 of ICCPR and the boards’ own precedents and eventually produces near-total impunity for AI-generated political harassment. </w:t>
      </w:r>
      <w:r>
        <w:rPr>
          <w:sz w:val="20"/>
          <w:szCs w:val="20"/>
          <w:vertAlign w:val="superscript"/>
        </w:rPr>
        <w:footnoteReference w:id="32"/>
      </w:r>
    </w:p>
    <w:p w14:paraId="00000022" w14:textId="77777777" w:rsidR="00BD4335" w:rsidRDefault="00BD4335">
      <w:pPr>
        <w:spacing w:line="240" w:lineRule="auto"/>
        <w:jc w:val="both"/>
        <w:rPr>
          <w:sz w:val="20"/>
          <w:szCs w:val="20"/>
        </w:rPr>
      </w:pPr>
    </w:p>
    <w:p w14:paraId="00000023" w14:textId="77777777" w:rsidR="00BD4335" w:rsidRDefault="00000000">
      <w:pPr>
        <w:spacing w:line="240" w:lineRule="auto"/>
        <w:jc w:val="both"/>
        <w:rPr>
          <w:sz w:val="20"/>
          <w:szCs w:val="20"/>
        </w:rPr>
      </w:pPr>
      <w:r>
        <w:rPr>
          <w:sz w:val="20"/>
          <w:szCs w:val="20"/>
        </w:rPr>
        <w:t xml:space="preserve">The public figure exemption is highly misapplied. The principle of reduced reputational protection applies to a politician’s use of public power and free speech, not to fabricated deepfake depictions that portray statements which are inherently antithetical to their known views. The video attributes inflammatory remarks about refugees and sexual assault to a </w:t>
      </w:r>
      <w:proofErr w:type="spellStart"/>
      <w:r>
        <w:rPr>
          <w:sz w:val="20"/>
          <w:szCs w:val="20"/>
        </w:rPr>
        <w:t>councillor</w:t>
      </w:r>
      <w:proofErr w:type="spellEnd"/>
      <w:r>
        <w:rPr>
          <w:sz w:val="20"/>
          <w:szCs w:val="20"/>
        </w:rPr>
        <w:t xml:space="preserve"> who has publicly opposed precisely the same rhetoric. When the harm is political rather than sexual in character but equivalent in severity as it poses a genuine threat to tarnishing an </w:t>
      </w:r>
      <w:proofErr w:type="spellStart"/>
      <w:proofErr w:type="gramStart"/>
      <w:r>
        <w:rPr>
          <w:sz w:val="20"/>
          <w:szCs w:val="20"/>
        </w:rPr>
        <w:t>individuals</w:t>
      </w:r>
      <w:proofErr w:type="spellEnd"/>
      <w:proofErr w:type="gramEnd"/>
      <w:r>
        <w:rPr>
          <w:sz w:val="20"/>
          <w:szCs w:val="20"/>
        </w:rPr>
        <w:t xml:space="preserve"> reputations and identity.</w:t>
      </w:r>
      <w:r>
        <w:rPr>
          <w:sz w:val="20"/>
          <w:szCs w:val="20"/>
          <w:vertAlign w:val="superscript"/>
        </w:rPr>
        <w:footnoteReference w:id="33"/>
      </w:r>
    </w:p>
    <w:p w14:paraId="00000024" w14:textId="77777777" w:rsidR="00BD4335" w:rsidRDefault="00BD4335">
      <w:pPr>
        <w:spacing w:line="240" w:lineRule="auto"/>
        <w:jc w:val="both"/>
        <w:rPr>
          <w:sz w:val="20"/>
          <w:szCs w:val="20"/>
        </w:rPr>
      </w:pPr>
    </w:p>
    <w:p w14:paraId="00000025" w14:textId="77777777" w:rsidR="00BD4335" w:rsidRDefault="00000000">
      <w:pPr>
        <w:spacing w:line="240" w:lineRule="auto"/>
        <w:jc w:val="both"/>
        <w:rPr>
          <w:sz w:val="20"/>
          <w:szCs w:val="20"/>
        </w:rPr>
      </w:pPr>
      <w:r>
        <w:rPr>
          <w:sz w:val="20"/>
          <w:szCs w:val="20"/>
        </w:rPr>
        <w:t xml:space="preserve">Meta's Trusted Partner </w:t>
      </w:r>
      <w:proofErr w:type="spellStart"/>
      <w:r>
        <w:rPr>
          <w:sz w:val="20"/>
          <w:szCs w:val="20"/>
        </w:rPr>
        <w:t>programme</w:t>
      </w:r>
      <w:proofErr w:type="spellEnd"/>
      <w:r>
        <w:rPr>
          <w:sz w:val="20"/>
          <w:szCs w:val="20"/>
        </w:rPr>
        <w:t xml:space="preserve"> which grants priority reporting access and faster escalation to designated civil society </w:t>
      </w:r>
      <w:proofErr w:type="spellStart"/>
      <w:r>
        <w:rPr>
          <w:sz w:val="20"/>
          <w:szCs w:val="20"/>
        </w:rPr>
        <w:t>organisations</w:t>
      </w:r>
      <w:proofErr w:type="spellEnd"/>
      <w:r>
        <w:rPr>
          <w:sz w:val="20"/>
          <w:szCs w:val="20"/>
        </w:rPr>
        <w:t xml:space="preserve"> creates a structural detection gap for sub-viral, locally-targeted content. The </w:t>
      </w:r>
      <w:proofErr w:type="spellStart"/>
      <w:r>
        <w:rPr>
          <w:sz w:val="20"/>
          <w:szCs w:val="20"/>
        </w:rPr>
        <w:t>organisations</w:t>
      </w:r>
      <w:proofErr w:type="spellEnd"/>
      <w:r>
        <w:rPr>
          <w:sz w:val="20"/>
          <w:szCs w:val="20"/>
        </w:rPr>
        <w:t xml:space="preserve"> best positioned to identify the </w:t>
      </w:r>
      <w:proofErr w:type="spellStart"/>
      <w:r>
        <w:rPr>
          <w:sz w:val="20"/>
          <w:szCs w:val="20"/>
        </w:rPr>
        <w:t>councillor's</w:t>
      </w:r>
      <w:proofErr w:type="spellEnd"/>
      <w:r>
        <w:rPr>
          <w:sz w:val="20"/>
          <w:szCs w:val="20"/>
        </w:rPr>
        <w:t xml:space="preserve"> deepfake as retaliatory local counter-extremism groups, Scottish feminist </w:t>
      </w:r>
      <w:proofErr w:type="spellStart"/>
      <w:r>
        <w:rPr>
          <w:sz w:val="20"/>
          <w:szCs w:val="20"/>
        </w:rPr>
        <w:t>organisations</w:t>
      </w:r>
      <w:proofErr w:type="spellEnd"/>
      <w:r>
        <w:rPr>
          <w:sz w:val="20"/>
          <w:szCs w:val="20"/>
        </w:rPr>
        <w:t xml:space="preserve">, and civil society bodies with knowledge of the UK anti-immigration protest context and the specific intimidation campaign against her are structurally unlikely to hold Trusted Partner status. Meta's internal moderators lack this contextual knowledge entirely. The Board should recommend that Meta establish a tiered or contextual Trusted Partner mechanism that grants elevated reporting access to local feminist and counter-extremism </w:t>
      </w:r>
      <w:proofErr w:type="spellStart"/>
      <w:r>
        <w:rPr>
          <w:sz w:val="20"/>
          <w:szCs w:val="20"/>
        </w:rPr>
        <w:t>organisations</w:t>
      </w:r>
      <w:proofErr w:type="spellEnd"/>
      <w:r>
        <w:rPr>
          <w:sz w:val="20"/>
          <w:szCs w:val="20"/>
        </w:rPr>
        <w:t xml:space="preserve"> in political contexts involving the targeting of women politicians</w:t>
      </w:r>
    </w:p>
    <w:p w14:paraId="00000026" w14:textId="77777777" w:rsidR="00BD4335" w:rsidRDefault="00BD4335">
      <w:pPr>
        <w:spacing w:line="240" w:lineRule="auto"/>
        <w:jc w:val="both"/>
        <w:rPr>
          <w:sz w:val="20"/>
          <w:szCs w:val="20"/>
        </w:rPr>
      </w:pPr>
    </w:p>
    <w:p w14:paraId="00000027" w14:textId="77777777" w:rsidR="00BD4335" w:rsidRDefault="00000000">
      <w:pPr>
        <w:spacing w:line="240" w:lineRule="auto"/>
        <w:jc w:val="both"/>
        <w:rPr>
          <w:sz w:val="20"/>
          <w:szCs w:val="20"/>
        </w:rPr>
      </w:pPr>
      <w:r>
        <w:rPr>
          <w:sz w:val="20"/>
          <w:szCs w:val="20"/>
        </w:rPr>
        <w:t xml:space="preserve">Moreover, the low-engagement threshold fails to identify the possible harm. The deepfake’s global reach is irrelevant as it only needs to reach the concerned community within which the </w:t>
      </w:r>
      <w:proofErr w:type="spellStart"/>
      <w:r>
        <w:rPr>
          <w:sz w:val="20"/>
          <w:szCs w:val="20"/>
        </w:rPr>
        <w:t>councillor</w:t>
      </w:r>
      <w:proofErr w:type="spellEnd"/>
      <w:r>
        <w:rPr>
          <w:sz w:val="20"/>
          <w:szCs w:val="20"/>
        </w:rPr>
        <w:t xml:space="preserve"> holds office to cause severe reputational and safety consequences. </w:t>
      </w:r>
      <w:proofErr w:type="spellStart"/>
      <w:r>
        <w:rPr>
          <w:sz w:val="20"/>
          <w:szCs w:val="20"/>
        </w:rPr>
        <w:t>Upto</w:t>
      </w:r>
      <w:proofErr w:type="spellEnd"/>
      <w:r>
        <w:rPr>
          <w:sz w:val="20"/>
          <w:szCs w:val="20"/>
        </w:rPr>
        <w:t xml:space="preserve"> 95% of online deepfakes are non-consensual, and 99% of targets are women who are already largely under-resourced and unrepresented to counter synthetic defamation.</w:t>
      </w:r>
      <w:r>
        <w:rPr>
          <w:sz w:val="20"/>
          <w:szCs w:val="20"/>
          <w:vertAlign w:val="superscript"/>
        </w:rPr>
        <w:footnoteReference w:id="34"/>
      </w:r>
      <w:r>
        <w:rPr>
          <w:sz w:val="20"/>
          <w:szCs w:val="20"/>
        </w:rPr>
        <w:t xml:space="preserve"> The Board found in Case 2023-033-FB-UA that focusing on production method rather than harm potential renders content policy </w:t>
      </w:r>
      <w:proofErr w:type="spellStart"/>
      <w:r>
        <w:rPr>
          <w:sz w:val="20"/>
          <w:szCs w:val="20"/>
        </w:rPr>
        <w:t>incoherent,similarly</w:t>
      </w:r>
      <w:proofErr w:type="spellEnd"/>
      <w:r>
        <w:rPr>
          <w:sz w:val="20"/>
          <w:szCs w:val="20"/>
        </w:rPr>
        <w:t>, an engagement-volume threshold commits the same categorical error in providing a just decision in this case.</w:t>
      </w:r>
      <w:r>
        <w:rPr>
          <w:sz w:val="20"/>
          <w:szCs w:val="20"/>
          <w:vertAlign w:val="superscript"/>
        </w:rPr>
        <w:footnoteReference w:id="35"/>
      </w:r>
    </w:p>
    <w:p w14:paraId="00000028" w14:textId="77777777" w:rsidR="00BD4335" w:rsidRDefault="00BD4335">
      <w:pPr>
        <w:spacing w:line="240" w:lineRule="auto"/>
        <w:jc w:val="both"/>
        <w:rPr>
          <w:sz w:val="20"/>
          <w:szCs w:val="20"/>
        </w:rPr>
      </w:pPr>
    </w:p>
    <w:p w14:paraId="0000002D" w14:textId="627B3C8D" w:rsidR="00BD4335" w:rsidRDefault="00000000" w:rsidP="00BE2D1E">
      <w:pPr>
        <w:spacing w:line="240" w:lineRule="auto"/>
        <w:jc w:val="both"/>
        <w:rPr>
          <w:sz w:val="20"/>
          <w:szCs w:val="20"/>
        </w:rPr>
      </w:pPr>
      <w:r>
        <w:rPr>
          <w:sz w:val="20"/>
          <w:szCs w:val="20"/>
        </w:rPr>
        <w:t xml:space="preserve">The satire characterization does not meet any of the definitional criteria. Protected satire makes the audience aware that it is unreal and uses the actual views of the subject to exaggerate the opposite ones, and is a tool for the critique, not for the harm. This content is hardly any of those things, it subjectively shows the </w:t>
      </w:r>
      <w:proofErr w:type="spellStart"/>
      <w:r>
        <w:rPr>
          <w:sz w:val="20"/>
          <w:szCs w:val="20"/>
        </w:rPr>
        <w:t>councillor</w:t>
      </w:r>
      <w:proofErr w:type="spellEnd"/>
      <w:r>
        <w:rPr>
          <w:sz w:val="20"/>
          <w:szCs w:val="20"/>
        </w:rPr>
        <w:t xml:space="preserve"> as a person with beliefs that are the exact opposites of her record, with no indicators of fiction in a community for which the lie if accepted not only produces dislike but also threatens with physical violence. ICCPR Article 20 could even make it a duty, rather than just a right, to take action in such cases.</w:t>
      </w:r>
      <w:r>
        <w:rPr>
          <w:sz w:val="20"/>
          <w:szCs w:val="20"/>
          <w:vertAlign w:val="superscript"/>
        </w:rPr>
        <w:footnoteReference w:id="36"/>
      </w:r>
      <w:r>
        <w:rPr>
          <w:sz w:val="20"/>
          <w:szCs w:val="20"/>
        </w:rPr>
        <w:t xml:space="preserve"> Also, allowing unmarked synthetic defamation only increases the "Liar's Dividend" that is, the more deepfakes are made available without any control, the less reliable becomes the proof that all political media offer, and Meta's non-action is only speeding up that breakdown.</w:t>
      </w:r>
      <w:r>
        <w:rPr>
          <w:sz w:val="20"/>
          <w:szCs w:val="20"/>
          <w:vertAlign w:val="superscript"/>
        </w:rPr>
        <w:footnoteReference w:id="37"/>
      </w:r>
    </w:p>
    <w:sectPr w:rsidR="00BD433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81C31" w14:textId="77777777" w:rsidR="00E03FF7" w:rsidRDefault="00E03FF7">
      <w:pPr>
        <w:spacing w:line="240" w:lineRule="auto"/>
      </w:pPr>
      <w:r>
        <w:separator/>
      </w:r>
    </w:p>
  </w:endnote>
  <w:endnote w:type="continuationSeparator" w:id="0">
    <w:p w14:paraId="4FA0BE3B" w14:textId="77777777" w:rsidR="00E03FF7" w:rsidRDefault="00E03F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 Garamond Medium">
    <w:charset w:val="00"/>
    <w:family w:val="auto"/>
    <w:pitch w:val="variable"/>
    <w:sig w:usb0="E00002FF" w:usb1="02000413" w:usb2="00000000" w:usb3="00000000" w:csb0="0000019F" w:csb1="00000000"/>
    <w:embedRegular r:id="rId1" w:fontKey="{728E222E-C081-41AD-91BD-9499CA82C60E}"/>
    <w:embedItalic r:id="rId2" w:fontKey="{1A61D037-BEA9-4280-BCC2-E8DF16ABE630}"/>
  </w:font>
  <w:font w:name="Arial">
    <w:panose1 w:val="020B0604020202020204"/>
    <w:charset w:val="00"/>
    <w:family w:val="swiss"/>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3" w:fontKey="{25B4BE1E-A767-467D-B20B-9670D90A83C7}"/>
    <w:embedBold r:id="rId4" w:fontKey="{C01DC617-9F46-45F9-A960-3CDFF3310FD7}"/>
    <w:embedItalic r:id="rId5" w:fontKey="{D85AA6BB-983A-4248-8C44-641BC7E322DB}"/>
    <w:embedBoldItalic r:id="rId6" w:fontKey="{6A88D100-A863-4A77-A20F-1B7CFD331DBE}"/>
  </w:font>
  <w:font w:name="Garamond">
    <w:panose1 w:val="02020404030301010803"/>
    <w:charset w:val="00"/>
    <w:family w:val="roman"/>
    <w:pitch w:val="variable"/>
    <w:sig w:usb0="00000287" w:usb1="00000000" w:usb2="00000000" w:usb3="00000000" w:csb0="0000009F" w:csb1="00000000"/>
    <w:embedRegular r:id="rId7" w:fontKey="{89054F58-F3F3-4A26-93E7-41B205C3D094}"/>
    <w:embedItalic r:id="rId8" w:fontKey="{75557CD2-E731-448E-83EE-7DA60483D6CA}"/>
  </w:font>
  <w:font w:name="Calibri">
    <w:panose1 w:val="020F0502020204030204"/>
    <w:charset w:val="00"/>
    <w:family w:val="swiss"/>
    <w:pitch w:val="variable"/>
    <w:sig w:usb0="E4002EFF" w:usb1="C200247B" w:usb2="00000009" w:usb3="00000000" w:csb0="000001FF" w:csb1="00000000"/>
    <w:embedRegular r:id="rId9" w:fontKey="{D7BA03ED-4A0B-46D2-AD46-29B83C784B3A}"/>
  </w:font>
  <w:font w:name="Cambria">
    <w:panose1 w:val="02040503050406030204"/>
    <w:charset w:val="00"/>
    <w:family w:val="roman"/>
    <w:pitch w:val="variable"/>
    <w:sig w:usb0="E00006FF" w:usb1="420024FF" w:usb2="02000000" w:usb3="00000000" w:csb0="0000019F" w:csb1="00000000"/>
    <w:embedRegular r:id="rId10" w:fontKey="{AAFFF65F-1409-4636-94D2-2BEC7261A0A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AFEA0" w14:textId="77777777" w:rsidR="00E03FF7" w:rsidRDefault="00E03FF7">
      <w:pPr>
        <w:spacing w:line="240" w:lineRule="auto"/>
      </w:pPr>
      <w:r>
        <w:separator/>
      </w:r>
    </w:p>
  </w:footnote>
  <w:footnote w:type="continuationSeparator" w:id="0">
    <w:p w14:paraId="27B80D86" w14:textId="77777777" w:rsidR="00E03FF7" w:rsidRDefault="00E03FF7">
      <w:pPr>
        <w:spacing w:line="240" w:lineRule="auto"/>
      </w:pPr>
      <w:r>
        <w:continuationSeparator/>
      </w:r>
    </w:p>
  </w:footnote>
  <w:footnote w:id="1">
    <w:p w14:paraId="0000002E"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European Digital Media Observatory, </w:t>
      </w:r>
      <w:r w:rsidRPr="00927553">
        <w:rPr>
          <w:rFonts w:ascii="Garamond" w:hAnsi="Garamond"/>
          <w:i/>
          <w:iCs/>
          <w:sz w:val="16"/>
          <w:szCs w:val="16"/>
        </w:rPr>
        <w:t>AI-generated Disinformation is on the Rise</w:t>
      </w:r>
      <w:r w:rsidRPr="00927553">
        <w:rPr>
          <w:rFonts w:ascii="Garamond" w:hAnsi="Garamond"/>
          <w:sz w:val="16"/>
          <w:szCs w:val="16"/>
        </w:rPr>
        <w:t xml:space="preserve"> (19 January 2026); European Digital Media Observatory, ‘Crime, Migrants and Disinformation: An Online Banquet for Extremists, a Real-world Danger for Societies’ (21 May 2026). </w:t>
      </w:r>
    </w:p>
  </w:footnote>
  <w:footnote w:id="2">
    <w:p w14:paraId="0000002F"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Jens Hainmueller and Daniel J Hopkins, ‘Public Attitudes toward Immigration’ (2014) 17 </w:t>
      </w:r>
      <w:r w:rsidRPr="00927553">
        <w:rPr>
          <w:rFonts w:ascii="Garamond" w:hAnsi="Garamond"/>
          <w:i/>
          <w:iCs/>
          <w:sz w:val="16"/>
          <w:szCs w:val="16"/>
        </w:rPr>
        <w:t>Annual Review of Political Science</w:t>
      </w:r>
      <w:r w:rsidRPr="00927553">
        <w:rPr>
          <w:rFonts w:ascii="Garamond" w:hAnsi="Garamond"/>
          <w:sz w:val="16"/>
          <w:szCs w:val="16"/>
        </w:rPr>
        <w:t xml:space="preserve"> 225. </w:t>
      </w:r>
    </w:p>
  </w:footnote>
  <w:footnote w:id="3">
    <w:p w14:paraId="00000030"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Yusaku Horiuchi and </w:t>
      </w:r>
      <w:proofErr w:type="spellStart"/>
      <w:r w:rsidRPr="00927553">
        <w:rPr>
          <w:rFonts w:ascii="Garamond" w:hAnsi="Garamond"/>
          <w:sz w:val="16"/>
          <w:szCs w:val="16"/>
        </w:rPr>
        <w:t>Yoshikuni</w:t>
      </w:r>
      <w:proofErr w:type="spellEnd"/>
      <w:r w:rsidRPr="00927553">
        <w:rPr>
          <w:rFonts w:ascii="Garamond" w:hAnsi="Garamond"/>
          <w:sz w:val="16"/>
          <w:szCs w:val="16"/>
        </w:rPr>
        <w:t xml:space="preserve"> Ono, ‘Susceptibility to Threatening Information and Attitudes toward Refugee Resettlement’ (2023) 60 </w:t>
      </w:r>
      <w:r w:rsidRPr="00927553">
        <w:rPr>
          <w:rFonts w:ascii="Garamond" w:hAnsi="Garamond"/>
          <w:i/>
          <w:iCs/>
          <w:sz w:val="16"/>
          <w:szCs w:val="16"/>
        </w:rPr>
        <w:t>Journal of Peace Research</w:t>
      </w:r>
      <w:r w:rsidRPr="00927553">
        <w:rPr>
          <w:rFonts w:ascii="Garamond" w:hAnsi="Garamond"/>
          <w:sz w:val="16"/>
          <w:szCs w:val="16"/>
        </w:rPr>
        <w:t xml:space="preserve"> 459. </w:t>
      </w:r>
    </w:p>
  </w:footnote>
  <w:footnote w:id="4">
    <w:p w14:paraId="00000031"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Institute for Strategic Dialogue, </w:t>
      </w:r>
      <w:r w:rsidRPr="00927553">
        <w:rPr>
          <w:rFonts w:ascii="Garamond" w:hAnsi="Garamond"/>
          <w:i/>
          <w:iCs/>
          <w:sz w:val="16"/>
          <w:szCs w:val="16"/>
        </w:rPr>
        <w:t>Generative AI and the German Far Right: Narratives, Tactics and Digital Strategies</w:t>
      </w:r>
      <w:r w:rsidRPr="00927553">
        <w:rPr>
          <w:rFonts w:ascii="Garamond" w:hAnsi="Garamond"/>
          <w:sz w:val="16"/>
          <w:szCs w:val="16"/>
        </w:rPr>
        <w:t xml:space="preserve"> (27 February 2025); AI Forensics, </w:t>
      </w:r>
      <w:r w:rsidRPr="00927553">
        <w:rPr>
          <w:rFonts w:ascii="Garamond" w:hAnsi="Garamond"/>
          <w:i/>
          <w:iCs/>
          <w:sz w:val="16"/>
          <w:szCs w:val="16"/>
        </w:rPr>
        <w:t>Artificial Elections: Generative AI in 2024 French Elections</w:t>
      </w:r>
      <w:r w:rsidRPr="00927553">
        <w:rPr>
          <w:rFonts w:ascii="Garamond" w:hAnsi="Garamond"/>
          <w:sz w:val="16"/>
          <w:szCs w:val="16"/>
        </w:rPr>
        <w:t xml:space="preserve"> (2024); Valentin Châtelet, ‘Far-right Parties Employed Generative AI Ahead of European Parliament Elections’ (</w:t>
      </w:r>
      <w:proofErr w:type="spellStart"/>
      <w:r w:rsidRPr="00927553">
        <w:rPr>
          <w:rFonts w:ascii="Garamond" w:hAnsi="Garamond"/>
          <w:sz w:val="16"/>
          <w:szCs w:val="16"/>
        </w:rPr>
        <w:t>DFRLab</w:t>
      </w:r>
      <w:proofErr w:type="spellEnd"/>
      <w:r w:rsidRPr="00927553">
        <w:rPr>
          <w:rFonts w:ascii="Garamond" w:hAnsi="Garamond"/>
          <w:sz w:val="16"/>
          <w:szCs w:val="16"/>
        </w:rPr>
        <w:t xml:space="preserve">, 11 June 2024). </w:t>
      </w:r>
    </w:p>
  </w:footnote>
  <w:footnote w:id="5">
    <w:p w14:paraId="00000032"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AI Forensics, </w:t>
      </w:r>
      <w:r w:rsidRPr="00927553">
        <w:rPr>
          <w:rFonts w:ascii="Garamond" w:hAnsi="Garamond"/>
          <w:i/>
          <w:iCs/>
          <w:sz w:val="16"/>
          <w:szCs w:val="16"/>
        </w:rPr>
        <w:t>Artificial Elections: Generative AI in 2024 French Elections</w:t>
      </w:r>
      <w:r w:rsidRPr="00927553">
        <w:rPr>
          <w:rFonts w:ascii="Garamond" w:hAnsi="Garamond"/>
          <w:sz w:val="16"/>
          <w:szCs w:val="16"/>
        </w:rPr>
        <w:t xml:space="preserve"> (2024).</w:t>
      </w:r>
    </w:p>
  </w:footnote>
  <w:footnote w:id="6">
    <w:p w14:paraId="00000033"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Valentin Châtelet, ‘Far-right Parties Employed Generative AI Ahead of European Parliament Elections’ (</w:t>
      </w:r>
      <w:proofErr w:type="spellStart"/>
      <w:r w:rsidRPr="00927553">
        <w:rPr>
          <w:rFonts w:ascii="Garamond" w:hAnsi="Garamond"/>
          <w:sz w:val="16"/>
          <w:szCs w:val="16"/>
        </w:rPr>
        <w:t>DFRLab</w:t>
      </w:r>
      <w:proofErr w:type="spellEnd"/>
      <w:r w:rsidRPr="00927553">
        <w:rPr>
          <w:rFonts w:ascii="Garamond" w:hAnsi="Garamond"/>
          <w:sz w:val="16"/>
          <w:szCs w:val="16"/>
        </w:rPr>
        <w:t xml:space="preserve">, 11 June 2024). </w:t>
      </w:r>
    </w:p>
  </w:footnote>
  <w:footnote w:id="7">
    <w:p w14:paraId="00000034"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Institute for Strategic Dialogue, </w:t>
      </w:r>
      <w:r w:rsidRPr="00927553">
        <w:rPr>
          <w:rFonts w:ascii="Garamond" w:hAnsi="Garamond"/>
          <w:i/>
          <w:iCs/>
          <w:sz w:val="16"/>
          <w:szCs w:val="16"/>
        </w:rPr>
        <w:t>Generative AI and the German Far Right: Narratives, Tactics and Digital Strategies</w:t>
      </w:r>
      <w:r w:rsidRPr="00927553">
        <w:rPr>
          <w:rFonts w:ascii="Garamond" w:hAnsi="Garamond"/>
          <w:sz w:val="16"/>
          <w:szCs w:val="16"/>
        </w:rPr>
        <w:t xml:space="preserve"> (27 February 2025). </w:t>
      </w:r>
    </w:p>
  </w:footnote>
  <w:footnote w:id="8">
    <w:p w14:paraId="00000035"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Reuters Fact Check, ‘Image of Armed Hospital Ambush is AI, Not Evidence of Disorder in UK’ (Reuters, 21 February 2025). </w:t>
      </w:r>
    </w:p>
  </w:footnote>
  <w:footnote w:id="9">
    <w:p w14:paraId="00000036"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PA Media, ‘Fact Check: Social Media Channel of Migrant’s Journey Posts AI-generated Videos’ (7 July 2025). </w:t>
      </w:r>
    </w:p>
  </w:footnote>
  <w:footnote w:id="10">
    <w:p w14:paraId="00000037"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Full Fact, ‘Video of Migrant Small Boat Crossing English Channel is Fake’ (29 April 2026). </w:t>
      </w:r>
    </w:p>
  </w:footnote>
  <w:footnote w:id="11">
    <w:p w14:paraId="00000038"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Alexander Diel and others, ‘Human Performance in Detecting Deepfakes: A Systematic Review and Meta-analysis of 56 Papers’ (2024) 16 </w:t>
      </w:r>
      <w:r w:rsidRPr="00927553">
        <w:rPr>
          <w:rFonts w:ascii="Garamond" w:hAnsi="Garamond"/>
          <w:i/>
          <w:iCs/>
          <w:sz w:val="16"/>
          <w:szCs w:val="16"/>
        </w:rPr>
        <w:t>Computers in Human Behavior Reports</w:t>
      </w:r>
      <w:r w:rsidRPr="00927553">
        <w:rPr>
          <w:rFonts w:ascii="Garamond" w:hAnsi="Garamond"/>
          <w:sz w:val="16"/>
          <w:szCs w:val="16"/>
        </w:rPr>
        <w:t xml:space="preserve"> 100538; Cristian Vaccari and Andrew Chadwick, ‘Deepfakes and Disinformation: Exploring the Impact of Synthetic Political Video on Deception, Uncertainty, and Trust in News’ (2020) 6 </w:t>
      </w:r>
      <w:proofErr w:type="gramStart"/>
      <w:r w:rsidRPr="00927553">
        <w:rPr>
          <w:rFonts w:ascii="Garamond" w:hAnsi="Garamond"/>
          <w:i/>
          <w:iCs/>
          <w:sz w:val="16"/>
          <w:szCs w:val="16"/>
        </w:rPr>
        <w:t>Social Media</w:t>
      </w:r>
      <w:proofErr w:type="gramEnd"/>
      <w:r w:rsidRPr="00927553">
        <w:rPr>
          <w:rFonts w:ascii="Garamond" w:hAnsi="Garamond"/>
          <w:i/>
          <w:iCs/>
          <w:sz w:val="16"/>
          <w:szCs w:val="16"/>
        </w:rPr>
        <w:t xml:space="preserve"> + Society</w:t>
      </w:r>
      <w:r w:rsidRPr="00927553">
        <w:rPr>
          <w:rFonts w:ascii="Garamond" w:hAnsi="Garamond"/>
          <w:sz w:val="16"/>
          <w:szCs w:val="16"/>
        </w:rPr>
        <w:t xml:space="preserve">. </w:t>
      </w:r>
    </w:p>
  </w:footnote>
  <w:footnote w:id="12">
    <w:p w14:paraId="00000039"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Fan Li and Ya Yang, ‘Impact of Artificial Intelligence-Generated Content Labels on Perceived Accuracy, Message Credibility, and Sharing Intentions for Misinformation: Web-Based Randomized Controlled Experiment’ (2024) 8 </w:t>
      </w:r>
      <w:r w:rsidRPr="00927553">
        <w:rPr>
          <w:rFonts w:ascii="Garamond" w:hAnsi="Garamond"/>
          <w:i/>
          <w:iCs/>
          <w:sz w:val="16"/>
          <w:szCs w:val="16"/>
        </w:rPr>
        <w:t>JMIR Formative Research</w:t>
      </w:r>
      <w:r w:rsidRPr="00927553">
        <w:rPr>
          <w:rFonts w:ascii="Garamond" w:hAnsi="Garamond"/>
          <w:sz w:val="16"/>
          <w:szCs w:val="16"/>
        </w:rPr>
        <w:t xml:space="preserve"> e60024. </w:t>
      </w:r>
    </w:p>
  </w:footnote>
  <w:footnote w:id="13">
    <w:p w14:paraId="0000003A"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YouGov, ‘Top National Issues: Crime and Immigration Shoot Up Since Mid-July’ (7 August 2024). </w:t>
      </w:r>
    </w:p>
  </w:footnote>
  <w:footnote w:id="14">
    <w:p w14:paraId="0000003B"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w:t>
      </w:r>
      <w:r w:rsidRPr="00927553">
        <w:rPr>
          <w:rFonts w:ascii="Garamond" w:hAnsi="Garamond"/>
          <w:i/>
          <w:iCs/>
          <w:sz w:val="16"/>
          <w:szCs w:val="16"/>
        </w:rPr>
        <w:t>Le Monde</w:t>
      </w:r>
      <w:r w:rsidRPr="00927553">
        <w:rPr>
          <w:rFonts w:ascii="Garamond" w:hAnsi="Garamond"/>
          <w:sz w:val="16"/>
          <w:szCs w:val="16"/>
        </w:rPr>
        <w:t>, ‘European Elections: How the Migration Issue Influenced the French Vote’ (13 June 2024</w:t>
      </w:r>
      <w:proofErr w:type="gramStart"/>
      <w:r w:rsidRPr="00927553">
        <w:rPr>
          <w:rFonts w:ascii="Garamond" w:hAnsi="Garamond"/>
          <w:sz w:val="16"/>
          <w:szCs w:val="16"/>
        </w:rPr>
        <w:t>)..</w:t>
      </w:r>
      <w:proofErr w:type="gramEnd"/>
    </w:p>
  </w:footnote>
  <w:footnote w:id="15">
    <w:p w14:paraId="00000049"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sz w:val="16"/>
          <w:szCs w:val="16"/>
        </w:rPr>
        <w:t xml:space="preserve">Yubin Kim, ‘The Legal Gray Zone of Deepfake Political Speech’ (The Issue Spotter, Cornell Journal of Law and Public Policy, 24 October 2025) </w:t>
      </w:r>
      <w:hyperlink r:id="rId1">
        <w:r w:rsidR="00BD4335" w:rsidRPr="00927553">
          <w:rPr>
            <w:rFonts w:ascii="Garamond" w:eastAsia="Times New Roman" w:hAnsi="Garamond" w:cs="Times New Roman"/>
            <w:color w:val="0563C1"/>
            <w:sz w:val="16"/>
            <w:szCs w:val="16"/>
            <w:u w:val="single"/>
          </w:rPr>
          <w:t>https://publications.lawschool.cornell.edu/jlpp/2025/10/24/the-legal-gray-zone-of-deepfake-political-speech/%3E</w:t>
        </w:r>
      </w:hyperlink>
      <w:r w:rsidRPr="00927553">
        <w:rPr>
          <w:rFonts w:ascii="Garamond" w:eastAsia="Times New Roman" w:hAnsi="Garamond" w:cs="Times New Roman"/>
          <w:sz w:val="16"/>
          <w:szCs w:val="16"/>
        </w:rPr>
        <w:t xml:space="preserve"> accessed 29 May 2026.</w:t>
      </w:r>
    </w:p>
  </w:footnote>
  <w:footnote w:id="16">
    <w:p w14:paraId="0000004A"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sz w:val="16"/>
          <w:szCs w:val="16"/>
        </w:rPr>
        <w:t xml:space="preserve">Frank Dietrich, ‘AI-based Removal of Hate Speech from Digital Social Networks: Chances and Risks for Freedom of Expression’ (2025) 5 </w:t>
      </w:r>
      <w:r w:rsidRPr="00927553">
        <w:rPr>
          <w:rFonts w:ascii="Garamond" w:eastAsia="Times New Roman" w:hAnsi="Garamond" w:cs="Times New Roman"/>
          <w:i/>
          <w:iCs/>
          <w:sz w:val="16"/>
          <w:szCs w:val="16"/>
        </w:rPr>
        <w:t>AI and Ethics</w:t>
      </w:r>
      <w:r w:rsidRPr="00927553">
        <w:rPr>
          <w:rFonts w:ascii="Garamond" w:eastAsia="Times New Roman" w:hAnsi="Garamond" w:cs="Times New Roman"/>
          <w:sz w:val="16"/>
          <w:szCs w:val="16"/>
        </w:rPr>
        <w:t xml:space="preserve"> 2943 </w:t>
      </w:r>
      <w:hyperlink r:id="rId2">
        <w:r w:rsidR="00BD4335" w:rsidRPr="00927553">
          <w:rPr>
            <w:rFonts w:ascii="Garamond" w:eastAsia="Times New Roman" w:hAnsi="Garamond" w:cs="Times New Roman"/>
            <w:color w:val="0563C1"/>
            <w:sz w:val="16"/>
            <w:szCs w:val="16"/>
            <w:u w:val="single"/>
          </w:rPr>
          <w:t>https://doi.org/10.1007/s43681-024-00610-7</w:t>
        </w:r>
      </w:hyperlink>
      <w:r w:rsidRPr="00927553">
        <w:rPr>
          <w:rFonts w:ascii="Garamond" w:eastAsia="Times New Roman" w:hAnsi="Garamond" w:cs="Times New Roman"/>
          <w:sz w:val="16"/>
          <w:szCs w:val="16"/>
        </w:rPr>
        <w:t xml:space="preserve"> accessed 29 May 2026.</w:t>
      </w:r>
    </w:p>
  </w:footnote>
  <w:footnote w:id="17">
    <w:p w14:paraId="0000004B"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i/>
          <w:iCs/>
          <w:sz w:val="16"/>
          <w:szCs w:val="16"/>
        </w:rPr>
        <w:t>AI-Generated Video in Israel-Iran Conflict</w:t>
      </w:r>
      <w:r w:rsidRPr="00927553">
        <w:rPr>
          <w:rFonts w:ascii="Garamond" w:eastAsia="Times New Roman" w:hAnsi="Garamond" w:cs="Times New Roman"/>
          <w:sz w:val="16"/>
          <w:szCs w:val="16"/>
        </w:rPr>
        <w:t xml:space="preserve"> (Oversight Board, 10 March 2026) </w:t>
      </w:r>
      <w:hyperlink r:id="rId3">
        <w:r w:rsidR="00BD4335" w:rsidRPr="00927553">
          <w:rPr>
            <w:rFonts w:ascii="Garamond" w:eastAsia="Times New Roman" w:hAnsi="Garamond" w:cs="Times New Roman"/>
            <w:color w:val="0563C1"/>
            <w:sz w:val="16"/>
            <w:szCs w:val="16"/>
            <w:u w:val="single"/>
          </w:rPr>
          <w:t>https://www.oversightboard.com/decision/fb-46usuh23/</w:t>
        </w:r>
      </w:hyperlink>
      <w:r w:rsidRPr="00927553">
        <w:rPr>
          <w:rFonts w:ascii="Garamond" w:eastAsia="Times New Roman" w:hAnsi="Garamond" w:cs="Times New Roman"/>
          <w:sz w:val="16"/>
          <w:szCs w:val="16"/>
        </w:rPr>
        <w:t xml:space="preserve"> accessed 29 May 2026.</w:t>
      </w:r>
    </w:p>
  </w:footnote>
  <w:footnote w:id="18">
    <w:p w14:paraId="0000004C"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sz w:val="16"/>
          <w:szCs w:val="16"/>
        </w:rPr>
        <w:t xml:space="preserve">The Santa Clara Principles on Transparency and Accountability in Content Moderation, ‘The Santa Clara Principles’ </w:t>
      </w:r>
      <w:hyperlink r:id="rId4">
        <w:r w:rsidR="00BD4335" w:rsidRPr="00927553">
          <w:rPr>
            <w:rFonts w:ascii="Garamond" w:eastAsia="Times New Roman" w:hAnsi="Garamond" w:cs="Times New Roman"/>
            <w:color w:val="0563C1"/>
            <w:sz w:val="16"/>
            <w:szCs w:val="16"/>
            <w:u w:val="single"/>
          </w:rPr>
          <w:t>https://santaclaraprinciples.org/</w:t>
        </w:r>
      </w:hyperlink>
      <w:r w:rsidRPr="00927553">
        <w:rPr>
          <w:rFonts w:ascii="Garamond" w:eastAsia="Times New Roman" w:hAnsi="Garamond" w:cs="Times New Roman"/>
          <w:sz w:val="16"/>
          <w:szCs w:val="16"/>
        </w:rPr>
        <w:t xml:space="preserve"> accessed 29 May 2026.</w:t>
      </w:r>
    </w:p>
  </w:footnote>
  <w:footnote w:id="19">
    <w:p w14:paraId="0000004D"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Meta, 'Misinformation' (Meta Transparency Center, 2024) </w:t>
      </w:r>
      <w:hyperlink r:id="rId5">
        <w:r w:rsidR="00BD4335" w:rsidRPr="00927553">
          <w:rPr>
            <w:rFonts w:ascii="Garamond" w:hAnsi="Garamond"/>
            <w:color w:val="1155CC"/>
            <w:sz w:val="16"/>
            <w:szCs w:val="16"/>
            <w:u w:val="single"/>
          </w:rPr>
          <w:t>https://transparency.meta.com/policies/community-standards/misinformation/</w:t>
        </w:r>
      </w:hyperlink>
      <w:r w:rsidRPr="00927553">
        <w:rPr>
          <w:rFonts w:ascii="Garamond" w:hAnsi="Garamond"/>
          <w:sz w:val="16"/>
          <w:szCs w:val="16"/>
        </w:rPr>
        <w:t xml:space="preserve"> accessed 29 May 2026.</w:t>
      </w:r>
    </w:p>
  </w:footnote>
  <w:footnote w:id="20">
    <w:p w14:paraId="0000004E"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sz w:val="16"/>
          <w:szCs w:val="16"/>
        </w:rPr>
        <w:t>John Kirchenbauer and others, ‘A Watermark for Large Language Models’ (</w:t>
      </w:r>
      <w:proofErr w:type="spellStart"/>
      <w:r w:rsidRPr="00927553">
        <w:rPr>
          <w:rFonts w:ascii="Garamond" w:eastAsia="Times New Roman" w:hAnsi="Garamond" w:cs="Times New Roman"/>
          <w:sz w:val="16"/>
          <w:szCs w:val="16"/>
        </w:rPr>
        <w:t>arXiv</w:t>
      </w:r>
      <w:proofErr w:type="spellEnd"/>
      <w:r w:rsidRPr="00927553">
        <w:rPr>
          <w:rFonts w:ascii="Garamond" w:eastAsia="Times New Roman" w:hAnsi="Garamond" w:cs="Times New Roman"/>
          <w:sz w:val="16"/>
          <w:szCs w:val="16"/>
        </w:rPr>
        <w:t xml:space="preserve">, submitted 24 January 2023, revised 1 May 2024) </w:t>
      </w:r>
      <w:hyperlink r:id="rId6">
        <w:r w:rsidR="00BD4335" w:rsidRPr="00927553">
          <w:rPr>
            <w:rFonts w:ascii="Garamond" w:eastAsia="Times New Roman" w:hAnsi="Garamond" w:cs="Times New Roman"/>
            <w:color w:val="0563C1"/>
            <w:sz w:val="16"/>
            <w:szCs w:val="16"/>
            <w:u w:val="single"/>
          </w:rPr>
          <w:t>https://arxiv.org/abs/2301.10226</w:t>
        </w:r>
      </w:hyperlink>
      <w:r w:rsidRPr="00927553">
        <w:rPr>
          <w:rFonts w:ascii="Garamond" w:eastAsia="Times New Roman" w:hAnsi="Garamond" w:cs="Times New Roman"/>
          <w:sz w:val="16"/>
          <w:szCs w:val="16"/>
        </w:rPr>
        <w:t xml:space="preserve"> accessed 29 May 2026.</w:t>
      </w:r>
    </w:p>
  </w:footnote>
  <w:footnote w:id="21">
    <w:p w14:paraId="0000004F"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i/>
          <w:iCs/>
          <w:sz w:val="16"/>
          <w:szCs w:val="16"/>
        </w:rPr>
        <w:t>Altered Video of President Biden</w:t>
      </w:r>
      <w:r w:rsidRPr="00927553">
        <w:rPr>
          <w:rFonts w:ascii="Garamond" w:eastAsia="Times New Roman" w:hAnsi="Garamond" w:cs="Times New Roman"/>
          <w:sz w:val="16"/>
          <w:szCs w:val="16"/>
        </w:rPr>
        <w:t xml:space="preserve"> (Oversight Board, 5 February 2024) </w:t>
      </w:r>
      <w:hyperlink r:id="rId7">
        <w:r w:rsidR="00BD4335" w:rsidRPr="00927553">
          <w:rPr>
            <w:rFonts w:ascii="Garamond" w:eastAsia="Times New Roman" w:hAnsi="Garamond" w:cs="Times New Roman"/>
            <w:color w:val="0563C1"/>
            <w:sz w:val="16"/>
            <w:szCs w:val="16"/>
            <w:u w:val="single"/>
          </w:rPr>
          <w:t>https://www.oversightboard.com/news/1068824731034762-oversight-board-upholds-meta-s-decision-in-altered-video-of-president-biden-case/</w:t>
        </w:r>
      </w:hyperlink>
      <w:r w:rsidRPr="00927553">
        <w:rPr>
          <w:rFonts w:ascii="Garamond" w:eastAsia="Times New Roman" w:hAnsi="Garamond" w:cs="Times New Roman"/>
          <w:sz w:val="16"/>
          <w:szCs w:val="16"/>
        </w:rPr>
        <w:t xml:space="preserve"> accessed 29 May 2026. </w:t>
      </w:r>
    </w:p>
  </w:footnote>
  <w:footnote w:id="22">
    <w:p w14:paraId="00000050"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i/>
          <w:iCs/>
          <w:sz w:val="16"/>
          <w:szCs w:val="16"/>
        </w:rPr>
        <w:t>Explicit AI Images of Female Public Figures (</w:t>
      </w:r>
      <w:r w:rsidRPr="00927553">
        <w:rPr>
          <w:rFonts w:ascii="Garamond" w:eastAsia="Times New Roman" w:hAnsi="Garamond" w:cs="Times New Roman"/>
          <w:sz w:val="16"/>
          <w:szCs w:val="16"/>
        </w:rPr>
        <w:t xml:space="preserve">Oversight Board, 25 July 2024)  </w:t>
      </w:r>
      <w:hyperlink r:id="rId8">
        <w:r w:rsidR="00BD4335" w:rsidRPr="00927553">
          <w:rPr>
            <w:rFonts w:ascii="Garamond" w:eastAsia="Times New Roman" w:hAnsi="Garamond" w:cs="Times New Roman"/>
            <w:color w:val="0563C1"/>
            <w:sz w:val="16"/>
            <w:szCs w:val="16"/>
            <w:u w:val="single"/>
          </w:rPr>
          <w:t>https://www.oversightboard.com/decision/bun-7e941o1n/</w:t>
        </w:r>
      </w:hyperlink>
      <w:r w:rsidRPr="00927553">
        <w:rPr>
          <w:rFonts w:ascii="Garamond" w:eastAsia="Times New Roman" w:hAnsi="Garamond" w:cs="Times New Roman"/>
          <w:sz w:val="16"/>
          <w:szCs w:val="16"/>
        </w:rPr>
        <w:t xml:space="preserve"> accessed 29 May 2026.</w:t>
      </w:r>
    </w:p>
  </w:footnote>
  <w:footnote w:id="23">
    <w:p w14:paraId="00000051"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sz w:val="16"/>
          <w:szCs w:val="16"/>
        </w:rPr>
        <w:t xml:space="preserve">Human Rights Committee, </w:t>
      </w:r>
      <w:r w:rsidRPr="00927553">
        <w:rPr>
          <w:rFonts w:ascii="Garamond" w:eastAsia="Times New Roman" w:hAnsi="Garamond" w:cs="Times New Roman"/>
          <w:i/>
          <w:iCs/>
          <w:sz w:val="16"/>
          <w:szCs w:val="16"/>
        </w:rPr>
        <w:t>General Comment No 34: Article 19: Freedoms of opinion and expression</w:t>
      </w:r>
      <w:r w:rsidRPr="00927553">
        <w:rPr>
          <w:rFonts w:ascii="Garamond" w:eastAsia="Times New Roman" w:hAnsi="Garamond" w:cs="Times New Roman"/>
          <w:sz w:val="16"/>
          <w:szCs w:val="16"/>
        </w:rPr>
        <w:t xml:space="preserve"> (12 September 2011) UN Doc CCPR/C/GC/34, para 34.</w:t>
      </w:r>
    </w:p>
  </w:footnote>
  <w:footnote w:id="24">
    <w:p w14:paraId="00000052" w14:textId="77777777" w:rsidR="00BD4335" w:rsidRPr="00927553" w:rsidRDefault="00000000" w:rsidP="00467F2C">
      <w:pPr>
        <w:spacing w:line="240" w:lineRule="auto"/>
        <w:jc w:val="both"/>
        <w:rPr>
          <w:rFonts w:ascii="Garamond" w:eastAsia="Times New Roman" w:hAnsi="Garamond" w:cs="Times New Roman"/>
          <w:sz w:val="16"/>
          <w:szCs w:val="16"/>
        </w:rPr>
      </w:pPr>
      <w:r w:rsidRPr="00927553">
        <w:rPr>
          <w:rFonts w:ascii="Garamond" w:hAnsi="Garamond"/>
          <w:sz w:val="16"/>
          <w:szCs w:val="16"/>
          <w:vertAlign w:val="superscript"/>
        </w:rPr>
        <w:footnoteRef/>
      </w:r>
      <w:r w:rsidRPr="00927553">
        <w:rPr>
          <w:rFonts w:ascii="Garamond" w:eastAsia="Times New Roman" w:hAnsi="Garamond" w:cs="Times New Roman"/>
          <w:i/>
          <w:iCs/>
          <w:sz w:val="16"/>
          <w:szCs w:val="16"/>
        </w:rPr>
        <w:t>Derogatory Image of Candidates for U.S. Elections</w:t>
      </w:r>
      <w:r w:rsidRPr="00927553">
        <w:rPr>
          <w:rFonts w:ascii="Garamond" w:eastAsia="Times New Roman" w:hAnsi="Garamond" w:cs="Times New Roman"/>
          <w:sz w:val="16"/>
          <w:szCs w:val="16"/>
        </w:rPr>
        <w:t xml:space="preserve"> (Oversight Board, 23 October 2024) </w:t>
      </w:r>
      <w:hyperlink r:id="rId9">
        <w:r w:rsidR="00BD4335" w:rsidRPr="00927553">
          <w:rPr>
            <w:rFonts w:ascii="Garamond" w:eastAsia="Times New Roman" w:hAnsi="Garamond" w:cs="Times New Roman"/>
            <w:color w:val="0563C1"/>
            <w:sz w:val="16"/>
            <w:szCs w:val="16"/>
            <w:u w:val="single"/>
          </w:rPr>
          <w:t>https://www.oversightboard.com/decision/fb-fwixegxq/</w:t>
        </w:r>
      </w:hyperlink>
      <w:r w:rsidRPr="00927553">
        <w:rPr>
          <w:rFonts w:ascii="Garamond" w:eastAsia="Times New Roman" w:hAnsi="Garamond" w:cs="Times New Roman"/>
          <w:sz w:val="16"/>
          <w:szCs w:val="16"/>
        </w:rPr>
        <w:t xml:space="preserve"> accessed 29 May 2026.</w:t>
      </w:r>
    </w:p>
  </w:footnote>
  <w:footnote w:id="25">
    <w:p w14:paraId="0000003C" w14:textId="77777777" w:rsidR="00BD4335" w:rsidRPr="00CC05F0" w:rsidRDefault="00000000" w:rsidP="00467F2C">
      <w:pPr>
        <w:spacing w:line="240" w:lineRule="auto"/>
        <w:jc w:val="both"/>
        <w:rPr>
          <w:rFonts w:ascii="Garamond" w:hAnsi="Garamond"/>
          <w:sz w:val="18"/>
          <w:szCs w:val="18"/>
        </w:rPr>
      </w:pPr>
      <w:r w:rsidRPr="00927553">
        <w:rPr>
          <w:rFonts w:ascii="Garamond" w:hAnsi="Garamond"/>
          <w:sz w:val="16"/>
          <w:szCs w:val="16"/>
          <w:vertAlign w:val="superscript"/>
        </w:rPr>
        <w:footnoteRef/>
      </w:r>
      <w:r w:rsidRPr="00927553">
        <w:rPr>
          <w:rFonts w:ascii="Garamond" w:hAnsi="Garamond"/>
          <w:sz w:val="16"/>
          <w:szCs w:val="16"/>
        </w:rPr>
        <w:t xml:space="preserve"> G. Ceylan, I.A. Anderson, &amp; W. Wood, ‘Sharing of misinformation is habitual, not just lazy or biased’ Proc. Natl. Acad. Sci. U.S.A. 120 (4) e2216614120 &lt;</w:t>
      </w:r>
      <w:hyperlink r:id="rId10">
        <w:r w:rsidR="00BD4335" w:rsidRPr="00927553">
          <w:rPr>
            <w:rFonts w:ascii="Garamond" w:hAnsi="Garamond"/>
            <w:color w:val="1155CC"/>
            <w:sz w:val="16"/>
            <w:szCs w:val="16"/>
            <w:u w:val="single"/>
          </w:rPr>
          <w:t>https://doi.org/10.1073/pnas.2216614120</w:t>
        </w:r>
      </w:hyperlink>
      <w:r w:rsidRPr="00927553">
        <w:rPr>
          <w:rFonts w:ascii="Garamond" w:hAnsi="Garamond"/>
          <w:sz w:val="16"/>
          <w:szCs w:val="16"/>
        </w:rPr>
        <w:t>&gt; accessed 28 May 2026.</w:t>
      </w:r>
    </w:p>
  </w:footnote>
  <w:footnote w:id="26">
    <w:p w14:paraId="0000003D"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‘How Meta </w:t>
      </w:r>
      <w:proofErr w:type="spellStart"/>
      <w:r w:rsidRPr="00927553">
        <w:rPr>
          <w:rFonts w:ascii="Garamond" w:hAnsi="Garamond"/>
          <w:sz w:val="16"/>
          <w:szCs w:val="16"/>
        </w:rPr>
        <w:t>prioritises</w:t>
      </w:r>
      <w:proofErr w:type="spellEnd"/>
      <w:r w:rsidRPr="00927553">
        <w:rPr>
          <w:rFonts w:ascii="Garamond" w:hAnsi="Garamond"/>
          <w:sz w:val="16"/>
          <w:szCs w:val="16"/>
        </w:rPr>
        <w:t xml:space="preserve"> content for review’ (Meta, updated 12 November 2024) &lt;</w:t>
      </w:r>
      <w:hyperlink r:id="rId11">
        <w:r w:rsidR="00BD4335" w:rsidRPr="00927553">
          <w:rPr>
            <w:rFonts w:ascii="Garamond" w:hAnsi="Garamond"/>
            <w:color w:val="1155CC"/>
            <w:sz w:val="16"/>
            <w:szCs w:val="16"/>
            <w:u w:val="single"/>
          </w:rPr>
          <w:t>https://transparency.meta.com/policies/improving/prioritizing-content-review/</w:t>
        </w:r>
      </w:hyperlink>
      <w:r w:rsidRPr="00927553">
        <w:rPr>
          <w:rFonts w:ascii="Garamond" w:hAnsi="Garamond"/>
          <w:sz w:val="16"/>
          <w:szCs w:val="16"/>
        </w:rPr>
        <w:t>&gt; accessed 28 May 2026.</w:t>
      </w:r>
    </w:p>
  </w:footnote>
  <w:footnote w:id="27">
    <w:p w14:paraId="0000003E"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United Nations Commission on Human Rights ‘Guiding Principles on Business and Human Rights’ (16 June 2011) &lt;</w:t>
      </w:r>
      <w:hyperlink r:id="rId12">
        <w:r w:rsidR="00BD4335" w:rsidRPr="00927553">
          <w:rPr>
            <w:rFonts w:ascii="Garamond" w:hAnsi="Garamond"/>
            <w:color w:val="1155CC"/>
            <w:sz w:val="16"/>
            <w:szCs w:val="16"/>
            <w:u w:val="single"/>
          </w:rPr>
          <w:t>https://www.ohchr.org/sites/default/files/documents/publications/guidingprinciplesbusinesshr_en.pdf</w:t>
        </w:r>
      </w:hyperlink>
      <w:r w:rsidRPr="00927553">
        <w:rPr>
          <w:rFonts w:ascii="Garamond" w:hAnsi="Garamond"/>
          <w:sz w:val="16"/>
          <w:szCs w:val="16"/>
        </w:rPr>
        <w:t>&gt; accessed 2 June 2026.</w:t>
      </w:r>
    </w:p>
  </w:footnote>
  <w:footnote w:id="28">
    <w:p w14:paraId="0000003F"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Christina P. Walker, Daniel S. Schiff &amp; Kaylyn Jackson Schiff, </w:t>
      </w:r>
      <w:r w:rsidRPr="00927553">
        <w:rPr>
          <w:rFonts w:ascii="Garamond" w:hAnsi="Garamond"/>
          <w:i/>
          <w:iCs/>
          <w:sz w:val="16"/>
          <w:szCs w:val="16"/>
        </w:rPr>
        <w:t>Merging AI Incidents Research with Political Misinformation Research: Introducing the Political Deepfakes Incidents Database</w:t>
      </w:r>
      <w:r w:rsidRPr="00927553">
        <w:rPr>
          <w:rFonts w:ascii="Garamond" w:hAnsi="Garamond"/>
          <w:sz w:val="16"/>
          <w:szCs w:val="16"/>
        </w:rPr>
        <w:t xml:space="preserve">, 38 Proc. AAAI Conf. on Artificial Intelligence 23053 (2024). </w:t>
      </w:r>
    </w:p>
  </w:footnote>
  <w:footnote w:id="29">
    <w:p w14:paraId="00000040"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Mathias Klang &amp; Nicholas Diakopoulos, </w:t>
      </w:r>
      <w:r w:rsidRPr="00927553">
        <w:rPr>
          <w:rFonts w:ascii="Garamond" w:hAnsi="Garamond"/>
          <w:i/>
          <w:iCs/>
          <w:sz w:val="16"/>
          <w:szCs w:val="16"/>
        </w:rPr>
        <w:t>A Human Rights Approach to Deepfakes and Synthetic Media</w:t>
      </w:r>
      <w:r w:rsidRPr="00927553">
        <w:rPr>
          <w:rFonts w:ascii="Garamond" w:hAnsi="Garamond"/>
          <w:sz w:val="16"/>
          <w:szCs w:val="16"/>
        </w:rPr>
        <w:t>, 30 Info. Commc'n &amp; Soc'y (2024), &lt;</w:t>
      </w:r>
      <w:hyperlink r:id="rId13">
        <w:r w:rsidR="00BD4335" w:rsidRPr="00927553">
          <w:rPr>
            <w:rFonts w:ascii="Garamond" w:hAnsi="Garamond"/>
            <w:color w:val="1155CC"/>
            <w:sz w:val="16"/>
            <w:szCs w:val="16"/>
            <w:u w:val="single"/>
          </w:rPr>
          <w:t>https://doi.org/10.1080/13600869.2024.2324540</w:t>
        </w:r>
      </w:hyperlink>
      <w:r w:rsidRPr="00927553">
        <w:rPr>
          <w:rFonts w:ascii="Garamond" w:hAnsi="Garamond"/>
          <w:sz w:val="16"/>
          <w:szCs w:val="16"/>
        </w:rPr>
        <w:t>&gt; accessed 30 May 2026.</w:t>
      </w:r>
    </w:p>
  </w:footnote>
  <w:footnote w:id="30">
    <w:p w14:paraId="00000041"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w:t>
      </w:r>
      <w:r w:rsidRPr="00927553">
        <w:rPr>
          <w:rFonts w:ascii="Garamond" w:hAnsi="Garamond"/>
          <w:i/>
          <w:iCs/>
          <w:sz w:val="16"/>
          <w:szCs w:val="16"/>
        </w:rPr>
        <w:t>See</w:t>
      </w:r>
      <w:r w:rsidRPr="00927553">
        <w:rPr>
          <w:rFonts w:ascii="Garamond" w:hAnsi="Garamond"/>
          <w:sz w:val="16"/>
          <w:szCs w:val="16"/>
        </w:rPr>
        <w:t xml:space="preserve"> </w:t>
      </w:r>
      <w:r w:rsidRPr="00927553">
        <w:rPr>
          <w:rFonts w:ascii="Garamond" w:hAnsi="Garamond"/>
          <w:i/>
          <w:iCs/>
          <w:sz w:val="16"/>
          <w:szCs w:val="16"/>
        </w:rPr>
        <w:t>Real-Time Disinformation Metrics and Counter-Disinformation Strategies</w:t>
      </w:r>
      <w:r w:rsidRPr="00927553">
        <w:rPr>
          <w:rFonts w:ascii="Garamond" w:hAnsi="Garamond"/>
          <w:sz w:val="16"/>
          <w:szCs w:val="16"/>
        </w:rPr>
        <w:t>, PMC12351547 (2024),</w:t>
      </w:r>
      <w:hyperlink r:id="rId14">
        <w:r w:rsidR="00BD4335" w:rsidRPr="00927553">
          <w:rPr>
            <w:rFonts w:ascii="Garamond" w:hAnsi="Garamond"/>
            <w:sz w:val="16"/>
            <w:szCs w:val="16"/>
          </w:rPr>
          <w:t xml:space="preserve"> &lt;</w:t>
        </w:r>
      </w:hyperlink>
      <w:hyperlink r:id="rId15">
        <w:r w:rsidR="00BD4335" w:rsidRPr="00927553">
          <w:rPr>
            <w:rFonts w:ascii="Garamond" w:hAnsi="Garamond"/>
            <w:color w:val="1155CC"/>
            <w:sz w:val="16"/>
            <w:szCs w:val="16"/>
            <w:u w:val="single"/>
          </w:rPr>
          <w:t>https://pmc.ncbi.nlm.nih.gov/articles/PMC12351547/</w:t>
        </w:r>
      </w:hyperlink>
      <w:r w:rsidRPr="00927553">
        <w:rPr>
          <w:rFonts w:ascii="Garamond" w:hAnsi="Garamond"/>
          <w:sz w:val="16"/>
          <w:szCs w:val="16"/>
        </w:rPr>
        <w:t>&gt; accessed 30 May 2026.</w:t>
      </w:r>
    </w:p>
  </w:footnote>
  <w:footnote w:id="31">
    <w:p w14:paraId="00000042" w14:textId="77777777" w:rsidR="00BD4335" w:rsidRPr="00CC05F0" w:rsidRDefault="00000000" w:rsidP="00467F2C">
      <w:pPr>
        <w:spacing w:line="240" w:lineRule="auto"/>
        <w:jc w:val="both"/>
        <w:rPr>
          <w:rFonts w:ascii="Garamond" w:hAnsi="Garamond"/>
          <w:sz w:val="18"/>
          <w:szCs w:val="18"/>
        </w:rPr>
      </w:pPr>
      <w:r w:rsidRPr="00927553">
        <w:rPr>
          <w:rFonts w:ascii="Garamond" w:hAnsi="Garamond"/>
          <w:sz w:val="16"/>
          <w:szCs w:val="16"/>
          <w:vertAlign w:val="superscript"/>
        </w:rPr>
        <w:footnoteRef/>
      </w:r>
      <w:r w:rsidRPr="00927553">
        <w:rPr>
          <w:rFonts w:ascii="Garamond" w:hAnsi="Garamond"/>
          <w:sz w:val="16"/>
          <w:szCs w:val="16"/>
        </w:rPr>
        <w:t xml:space="preserve"> Luis Romero-Moreno, </w:t>
      </w:r>
      <w:r w:rsidRPr="00927553">
        <w:rPr>
          <w:rFonts w:ascii="Garamond" w:hAnsi="Garamond"/>
          <w:i/>
          <w:iCs/>
          <w:sz w:val="16"/>
          <w:szCs w:val="16"/>
        </w:rPr>
        <w:t>Deepfakes, Fundamental Rights and the EU AI Act</w:t>
      </w:r>
      <w:r w:rsidRPr="00927553">
        <w:rPr>
          <w:rFonts w:ascii="Garamond" w:hAnsi="Garamond"/>
          <w:sz w:val="16"/>
          <w:szCs w:val="16"/>
        </w:rPr>
        <w:t>, Info. Commc'n &amp; Soc'y (2024), &lt;</w:t>
      </w:r>
      <w:hyperlink r:id="rId16">
        <w:r w:rsidR="00BD4335" w:rsidRPr="00927553">
          <w:rPr>
            <w:rFonts w:ascii="Garamond" w:hAnsi="Garamond"/>
            <w:color w:val="1155CC"/>
            <w:sz w:val="16"/>
            <w:szCs w:val="16"/>
            <w:u w:val="single"/>
          </w:rPr>
          <w:t>https://doi.org/10.1080/13600869.2024.2324540</w:t>
        </w:r>
      </w:hyperlink>
      <w:r w:rsidRPr="00927553">
        <w:rPr>
          <w:rFonts w:ascii="Garamond" w:hAnsi="Garamond"/>
          <w:sz w:val="16"/>
          <w:szCs w:val="16"/>
        </w:rPr>
        <w:t>&gt; accessed 30 May 2026.</w:t>
      </w:r>
    </w:p>
  </w:footnote>
  <w:footnote w:id="32">
    <w:p w14:paraId="00000043"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International Covenant on Civil and Political Rights (adopted 16 December 1966, entered into force 23 March 1976) 999 UNTS 171 (ICCPR) art 19-20.</w:t>
      </w:r>
    </w:p>
  </w:footnote>
  <w:footnote w:id="33">
    <w:p w14:paraId="00000044" w14:textId="33AB0FCE"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w:t>
      </w:r>
      <w:r w:rsidR="00CE2846" w:rsidRPr="00927553">
        <w:rPr>
          <w:rFonts w:ascii="Garamond" w:eastAsia="Times New Roman" w:hAnsi="Garamond" w:cs="Times New Roman"/>
          <w:sz w:val="16"/>
          <w:szCs w:val="16"/>
        </w:rPr>
        <w:t>ibid (n 22)</w:t>
      </w:r>
      <w:r w:rsidRPr="00927553">
        <w:rPr>
          <w:rFonts w:ascii="Garamond" w:eastAsia="Times New Roman" w:hAnsi="Garamond" w:cs="Times New Roman"/>
          <w:sz w:val="16"/>
          <w:szCs w:val="16"/>
        </w:rPr>
        <w:t>; ICCPR (n 1) art 19 (3) (a).</w:t>
      </w:r>
    </w:p>
  </w:footnote>
  <w:footnote w:id="34">
    <w:p w14:paraId="00000045"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European Parliament Research Service, 'Stereotypes, Disinformation and Digital Violence: Fighting Discrimination and Promoting Equality Online' (European Parliament 2026) &lt;https://www.europarl.europa.eu/RegData/etudes/BRIE/2026/785000/IUST_BRI(2026)785000_EN.pdf&gt; accessed 29 May 2026.</w:t>
      </w:r>
    </w:p>
  </w:footnote>
  <w:footnote w:id="35">
    <w:p w14:paraId="00000046"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w:t>
      </w:r>
      <w:r w:rsidRPr="00927553">
        <w:rPr>
          <w:rFonts w:ascii="Garamond" w:eastAsia="Times New Roman" w:hAnsi="Garamond" w:cs="Times New Roman"/>
          <w:sz w:val="16"/>
          <w:szCs w:val="16"/>
        </w:rPr>
        <w:t>Politician’s Comments on Demographic Changes (Oversight Board, 12 March 2024) &lt;</w:t>
      </w:r>
      <w:hyperlink r:id="rId17">
        <w:r w:rsidR="00BD4335" w:rsidRPr="00927553">
          <w:rPr>
            <w:rFonts w:ascii="Garamond" w:eastAsia="Times New Roman" w:hAnsi="Garamond" w:cs="Times New Roman"/>
            <w:color w:val="1155CC"/>
            <w:sz w:val="16"/>
            <w:szCs w:val="16"/>
            <w:u w:val="single"/>
          </w:rPr>
          <w:t>https://www.oversightboard.com/decision/fb-ofs963dz/</w:t>
        </w:r>
      </w:hyperlink>
      <w:r w:rsidRPr="00927553">
        <w:rPr>
          <w:rFonts w:ascii="Garamond" w:eastAsia="Times New Roman" w:hAnsi="Garamond" w:cs="Times New Roman"/>
          <w:sz w:val="16"/>
          <w:szCs w:val="16"/>
        </w:rPr>
        <w:t>&gt; accessed 29 May 2026.</w:t>
      </w:r>
    </w:p>
  </w:footnote>
  <w:footnote w:id="36">
    <w:p w14:paraId="00000047" w14:textId="77777777" w:rsidR="00BD4335" w:rsidRPr="00927553" w:rsidRDefault="00000000" w:rsidP="00467F2C">
      <w:pPr>
        <w:spacing w:line="240" w:lineRule="auto"/>
        <w:jc w:val="both"/>
        <w:rPr>
          <w:rFonts w:ascii="Garamond" w:hAnsi="Garamond"/>
          <w:sz w:val="16"/>
          <w:szCs w:val="16"/>
        </w:rPr>
      </w:pPr>
      <w:r w:rsidRPr="00927553">
        <w:rPr>
          <w:rFonts w:ascii="Garamond" w:hAnsi="Garamond"/>
          <w:sz w:val="16"/>
          <w:szCs w:val="16"/>
          <w:vertAlign w:val="superscript"/>
        </w:rPr>
        <w:footnoteRef/>
      </w:r>
      <w:r w:rsidRPr="00927553">
        <w:rPr>
          <w:rFonts w:ascii="Garamond" w:hAnsi="Garamond"/>
          <w:sz w:val="16"/>
          <w:szCs w:val="16"/>
        </w:rPr>
        <w:t xml:space="preserve"> </w:t>
      </w:r>
      <w:r w:rsidRPr="00927553">
        <w:rPr>
          <w:rFonts w:ascii="Garamond" w:eastAsia="Times New Roman" w:hAnsi="Garamond" w:cs="Times New Roman"/>
          <w:sz w:val="16"/>
          <w:szCs w:val="16"/>
        </w:rPr>
        <w:t>ICCPR, Art. 20(2)</w:t>
      </w:r>
      <w:r w:rsidRPr="00927553">
        <w:rPr>
          <w:rFonts w:ascii="Garamond" w:hAnsi="Garamond"/>
          <w:sz w:val="16"/>
          <w:szCs w:val="16"/>
        </w:rPr>
        <w:t>.</w:t>
      </w:r>
    </w:p>
  </w:footnote>
  <w:footnote w:id="37">
    <w:p w14:paraId="00000048" w14:textId="77777777" w:rsidR="00BD4335" w:rsidRPr="00CC05F0" w:rsidRDefault="00000000" w:rsidP="00467F2C">
      <w:pPr>
        <w:spacing w:line="240" w:lineRule="auto"/>
        <w:jc w:val="both"/>
        <w:rPr>
          <w:rFonts w:ascii="Garamond" w:hAnsi="Garamond"/>
          <w:sz w:val="18"/>
          <w:szCs w:val="18"/>
        </w:rPr>
      </w:pPr>
      <w:r w:rsidRPr="00927553">
        <w:rPr>
          <w:rFonts w:ascii="Garamond" w:hAnsi="Garamond"/>
          <w:sz w:val="16"/>
          <w:szCs w:val="16"/>
          <w:vertAlign w:val="superscript"/>
        </w:rPr>
        <w:footnoteRef/>
      </w:r>
      <w:r w:rsidRPr="00927553">
        <w:rPr>
          <w:rFonts w:ascii="Garamond" w:hAnsi="Garamond"/>
          <w:sz w:val="16"/>
          <w:szCs w:val="16"/>
        </w:rPr>
        <w:t xml:space="preserve"> Kaylyn Jackson Schiff, Daniel S Schiff and Natália S Bueno, “The Liar’s Dividend: Can Politicians Claim Misinformation to Evade Accountability?” (2024) 119 American Political Science Review 71 &lt;</w:t>
      </w:r>
      <w:hyperlink r:id="rId18">
        <w:r w:rsidR="00BD4335" w:rsidRPr="00927553">
          <w:rPr>
            <w:rFonts w:ascii="Garamond" w:hAnsi="Garamond"/>
            <w:color w:val="1155CC"/>
            <w:sz w:val="16"/>
            <w:szCs w:val="16"/>
            <w:u w:val="single"/>
          </w:rPr>
          <w:t>https://doi.org/10.1017/s0003055423001454</w:t>
        </w:r>
      </w:hyperlink>
      <w:r w:rsidRPr="00927553">
        <w:rPr>
          <w:rFonts w:ascii="Garamond" w:hAnsi="Garamond"/>
          <w:sz w:val="16"/>
          <w:szCs w:val="16"/>
        </w:rPr>
        <w:t xml:space="preserve">&gt; last accessed 29 May 2026; </w:t>
      </w:r>
      <w:r w:rsidRPr="00927553">
        <w:rPr>
          <w:rFonts w:ascii="Garamond" w:eastAsia="Times New Roman" w:hAnsi="Garamond" w:cs="Times New Roman"/>
          <w:sz w:val="16"/>
          <w:szCs w:val="16"/>
        </w:rPr>
        <w:t xml:space="preserve">Sumner J, “Board Calls for New Rules on Deceptive AI during Conflicts” </w:t>
      </w:r>
      <w:r w:rsidRPr="00927553">
        <w:rPr>
          <w:rFonts w:ascii="Garamond" w:eastAsia="Times New Roman" w:hAnsi="Garamond" w:cs="Times New Roman"/>
          <w:i/>
          <w:iCs/>
          <w:sz w:val="16"/>
          <w:szCs w:val="16"/>
        </w:rPr>
        <w:t>The Oversight Board</w:t>
      </w:r>
      <w:r w:rsidRPr="00927553">
        <w:rPr>
          <w:rFonts w:ascii="Garamond" w:eastAsia="Times New Roman" w:hAnsi="Garamond" w:cs="Times New Roman"/>
          <w:sz w:val="16"/>
          <w:szCs w:val="16"/>
        </w:rPr>
        <w:t xml:space="preserve"> (March 10, 2026) &lt;</w:t>
      </w:r>
      <w:hyperlink r:id="rId19">
        <w:r w:rsidR="00BD4335" w:rsidRPr="00927553">
          <w:rPr>
            <w:rFonts w:ascii="Garamond" w:eastAsia="Times New Roman" w:hAnsi="Garamond" w:cs="Times New Roman"/>
            <w:color w:val="1155CC"/>
            <w:sz w:val="16"/>
            <w:szCs w:val="16"/>
            <w:u w:val="single"/>
          </w:rPr>
          <w:t>https://www.oversightboard.com/news/board-calls-for-new-rules-on-deceptive-ai-during-conflicts/</w:t>
        </w:r>
      </w:hyperlink>
      <w:r w:rsidRPr="00927553">
        <w:rPr>
          <w:rFonts w:ascii="Garamond" w:eastAsia="Times New Roman" w:hAnsi="Garamond" w:cs="Times New Roman"/>
          <w:sz w:val="16"/>
          <w:szCs w:val="16"/>
        </w:rPr>
        <w:t>&gt; accessed 29 May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E713E"/>
    <w:multiLevelType w:val="multilevel"/>
    <w:tmpl w:val="5EC4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3626F3"/>
    <w:multiLevelType w:val="multilevel"/>
    <w:tmpl w:val="E46E0DD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221772DA"/>
    <w:multiLevelType w:val="multilevel"/>
    <w:tmpl w:val="E36656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8003A96"/>
    <w:multiLevelType w:val="multilevel"/>
    <w:tmpl w:val="77C2E5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66615324">
    <w:abstractNumId w:val="1"/>
  </w:num>
  <w:num w:numId="2" w16cid:durableId="1872306920">
    <w:abstractNumId w:val="2"/>
  </w:num>
  <w:num w:numId="3" w16cid:durableId="1097940256">
    <w:abstractNumId w:val="3"/>
  </w:num>
  <w:num w:numId="4" w16cid:durableId="974144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35"/>
    <w:rsid w:val="000B2567"/>
    <w:rsid w:val="00416A0C"/>
    <w:rsid w:val="00467F2C"/>
    <w:rsid w:val="005B4187"/>
    <w:rsid w:val="007969A5"/>
    <w:rsid w:val="00831AC0"/>
    <w:rsid w:val="00881AA6"/>
    <w:rsid w:val="00927553"/>
    <w:rsid w:val="00AA6F32"/>
    <w:rsid w:val="00BD4335"/>
    <w:rsid w:val="00BE2D1E"/>
    <w:rsid w:val="00C77066"/>
    <w:rsid w:val="00CC05F0"/>
    <w:rsid w:val="00CE2846"/>
    <w:rsid w:val="00D56DB0"/>
    <w:rsid w:val="00E03F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285A3"/>
  <w15:docId w15:val="{840634A4-B642-45ED-9587-950F1CB24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Medium" w:eastAsia="EB Garamond Medium" w:hAnsi="EB Garamond Medium" w:cs="EB Garamond Medium"/>
        <w:sz w:val="24"/>
        <w:szCs w:val="24"/>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www.oversightboard.com/decision/bun-7e941o1n/" TargetMode="External"/><Relationship Id="rId13" Type="http://schemas.openxmlformats.org/officeDocument/2006/relationships/hyperlink" Target="https://doi.org/10.1080/13600869.2024.2324540" TargetMode="External"/><Relationship Id="rId18" Type="http://schemas.openxmlformats.org/officeDocument/2006/relationships/hyperlink" Target="https://doi.org/10.1017/s0003055423001454" TargetMode="External"/><Relationship Id="rId3" Type="http://schemas.openxmlformats.org/officeDocument/2006/relationships/hyperlink" Target="https://www.oversightboard.com/decision/fb-46usuh23/" TargetMode="External"/><Relationship Id="rId7" Type="http://schemas.openxmlformats.org/officeDocument/2006/relationships/hyperlink" Target="https://www.oversightboard.com/news/1068824731034762-oversight-board-upholds-meta-s-decision-in-altered-video-of-president-biden-case/" TargetMode="External"/><Relationship Id="rId12" Type="http://schemas.openxmlformats.org/officeDocument/2006/relationships/hyperlink" Target="https://www.ohchr.org/sites/default/files/documents/publications/guidingprinciplesbusinesshr_en.pdf" TargetMode="External"/><Relationship Id="rId17" Type="http://schemas.openxmlformats.org/officeDocument/2006/relationships/hyperlink" Target="https://www.oversightboard.com/decision/fb-ofs963dz/" TargetMode="External"/><Relationship Id="rId2" Type="http://schemas.openxmlformats.org/officeDocument/2006/relationships/hyperlink" Target="https://doi.org/10.1007/s43681-024-00610-7" TargetMode="External"/><Relationship Id="rId16" Type="http://schemas.openxmlformats.org/officeDocument/2006/relationships/hyperlink" Target="https://doi.org/10.1080/13600869.2024.2324540" TargetMode="External"/><Relationship Id="rId1" Type="http://schemas.openxmlformats.org/officeDocument/2006/relationships/hyperlink" Target="https://publications.lawschool.cornell.edu/jlpp/2025/10/24/the-legal-gray-zone-of-deepfake-political-speech/%3E" TargetMode="External"/><Relationship Id="rId6" Type="http://schemas.openxmlformats.org/officeDocument/2006/relationships/hyperlink" Target="https://arxiv.org/abs/2301.10226" TargetMode="External"/><Relationship Id="rId11" Type="http://schemas.openxmlformats.org/officeDocument/2006/relationships/hyperlink" Target="https://transparency.meta.com/policies/improving/prioritizing-content-review/" TargetMode="External"/><Relationship Id="rId5" Type="http://schemas.openxmlformats.org/officeDocument/2006/relationships/hyperlink" Target="https://transparency.meta.com/policies/community-standards/misinformation/" TargetMode="External"/><Relationship Id="rId15" Type="http://schemas.openxmlformats.org/officeDocument/2006/relationships/hyperlink" Target="https://pmc.ncbi.nlm.nih.gov/articles/PMC12351547/" TargetMode="External"/><Relationship Id="rId10" Type="http://schemas.openxmlformats.org/officeDocument/2006/relationships/hyperlink" Target="https://doi.org/10.1073/pnas.2216614120" TargetMode="External"/><Relationship Id="rId19" Type="http://schemas.openxmlformats.org/officeDocument/2006/relationships/hyperlink" Target="https://www.oversightboard.com/news/board-calls-for-new-rules-on-deceptive-ai-during-conflicts/" TargetMode="External"/><Relationship Id="rId4" Type="http://schemas.openxmlformats.org/officeDocument/2006/relationships/hyperlink" Target="https://santaclaraprinciples.org/" TargetMode="External"/><Relationship Id="rId9" Type="http://schemas.openxmlformats.org/officeDocument/2006/relationships/hyperlink" Target="https://www.oversightboard.com/decision/fb-fwixegxq/" TargetMode="External"/><Relationship Id="rId14" Type="http://schemas.openxmlformats.org/officeDocument/2006/relationships/hyperlink" Target="https://pmc.ncbi.nlm.nih.gov/articles/PMC12351547/?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2656</Words>
  <Characters>15142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Author</cp:lastModifiedBy>
  <cp:revision>12</cp:revision>
  <dcterms:created xsi:type="dcterms:W3CDTF">2026-06-03T15:40:00Z</dcterms:created>
  <dcterms:modified xsi:type="dcterms:W3CDTF">2026-06-03T16:32:00Z</dcterms:modified>
</cp:coreProperties>
</file>